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33B" w:rsidRDefault="00D5133B" w:rsidP="00D5133B">
      <w:pPr>
        <w:jc w:val="center"/>
        <w:rPr>
          <w:b/>
          <w:sz w:val="36"/>
          <w:szCs w:val="36"/>
        </w:rPr>
      </w:pPr>
      <w:r w:rsidRPr="00F1403E">
        <w:rPr>
          <w:b/>
          <w:sz w:val="36"/>
          <w:szCs w:val="36"/>
        </w:rPr>
        <w:t>Nejčastější otázky k IOP 2.1</w:t>
      </w:r>
    </w:p>
    <w:p w:rsidR="00D5133B" w:rsidRPr="004A569B" w:rsidRDefault="00D5133B" w:rsidP="00D5133B">
      <w:pPr>
        <w:jc w:val="center"/>
        <w:rPr>
          <w:b/>
          <w:sz w:val="36"/>
          <w:szCs w:val="36"/>
        </w:rPr>
      </w:pPr>
      <w:r>
        <w:rPr>
          <w:b/>
          <w:sz w:val="36"/>
          <w:szCs w:val="36"/>
        </w:rPr>
        <w:t>Výzva č. 19</w:t>
      </w:r>
    </w:p>
    <w:p w:rsidR="00D5133B" w:rsidRDefault="00D5133B" w:rsidP="00D5133B">
      <w:pPr>
        <w:jc w:val="both"/>
        <w:rPr>
          <w:rFonts w:ascii="Arial" w:hAnsi="Arial" w:cs="Arial"/>
          <w:b/>
          <w:bCs/>
        </w:rPr>
      </w:pPr>
    </w:p>
    <w:p w:rsidR="00D5133B" w:rsidRPr="004A569B" w:rsidRDefault="00D5133B" w:rsidP="00D5133B">
      <w:pPr>
        <w:autoSpaceDE w:val="0"/>
        <w:autoSpaceDN w:val="0"/>
        <w:adjustRightInd w:val="0"/>
        <w:jc w:val="center"/>
        <w:rPr>
          <w:b/>
          <w:bCs/>
          <w:color w:val="3047A0"/>
          <w:sz w:val="32"/>
          <w:szCs w:val="32"/>
        </w:rPr>
      </w:pPr>
      <w:r w:rsidRPr="004A569B">
        <w:rPr>
          <w:b/>
          <w:bCs/>
          <w:color w:val="3047A0"/>
          <w:sz w:val="32"/>
          <w:szCs w:val="32"/>
        </w:rPr>
        <w:t xml:space="preserve">Krajské služby </w:t>
      </w:r>
      <w:proofErr w:type="spellStart"/>
      <w:r w:rsidRPr="004A569B">
        <w:rPr>
          <w:b/>
          <w:bCs/>
          <w:color w:val="3047A0"/>
          <w:sz w:val="32"/>
          <w:szCs w:val="32"/>
        </w:rPr>
        <w:t>eGovernmentu</w:t>
      </w:r>
      <w:proofErr w:type="spellEnd"/>
    </w:p>
    <w:p w:rsidR="00C94DFF" w:rsidRPr="00B72889" w:rsidRDefault="00C94DFF" w:rsidP="00C94DFF">
      <w:pPr>
        <w:jc w:val="both"/>
        <w:rPr>
          <w:b/>
          <w:bCs/>
        </w:rPr>
      </w:pPr>
    </w:p>
    <w:p w:rsidR="00C94DFF" w:rsidRPr="00B72889" w:rsidRDefault="00C94DFF"/>
    <w:p w:rsidR="00C94DFF" w:rsidRPr="00B72889" w:rsidRDefault="00C94DFF" w:rsidP="00C94DFF">
      <w:pPr>
        <w:numPr>
          <w:ilvl w:val="0"/>
          <w:numId w:val="2"/>
        </w:numPr>
        <w:ind w:left="0" w:firstLine="0"/>
        <w:jc w:val="both"/>
        <w:rPr>
          <w:b/>
        </w:rPr>
      </w:pPr>
      <w:r w:rsidRPr="00B72889">
        <w:rPr>
          <w:b/>
        </w:rPr>
        <w:t xml:space="preserve">PA Rozvoj eHealth – elektronizace zdravotnictví, kap. 1: jako cílová skupina je definována jako: „Krajské úřady, zřizované a zakládané organizace kraje, sekundárně i další subjekty veřejné správy (města a obce, jimi zřizované organizace, složky krizového řízení aj.)“; obdobně je to i dalších PA. Připouští tedy výzva poskytování výstupů projektu i jiným subjektům než klasicky příspěvkovým organizacím kraje? Tj. podle uvedeného znění by služby mohly využívat také např. akciové společnosti s majetkovou účastí kraje (př. nemocnice ve formě akc. </w:t>
      </w:r>
      <w:proofErr w:type="gramStart"/>
      <w:r w:rsidRPr="00B72889">
        <w:rPr>
          <w:b/>
        </w:rPr>
        <w:t>spol.</w:t>
      </w:r>
      <w:proofErr w:type="gramEnd"/>
      <w:r w:rsidRPr="00B72889">
        <w:rPr>
          <w:b/>
        </w:rPr>
        <w:t xml:space="preserve"> s majetkovou účastí kraje). Je to tak (totéž se objevuje v dalších PA)?</w:t>
      </w:r>
    </w:p>
    <w:p w:rsidR="00C94DFF" w:rsidRPr="00B72889" w:rsidRDefault="00C94DFF" w:rsidP="00C94DFF">
      <w:pPr>
        <w:jc w:val="both"/>
        <w:rPr>
          <w:b/>
        </w:rPr>
      </w:pPr>
    </w:p>
    <w:p w:rsidR="00C94DFF" w:rsidRPr="00B72889" w:rsidRDefault="00C94DFF" w:rsidP="00C94DFF">
      <w:pPr>
        <w:jc w:val="both"/>
      </w:pPr>
      <w:r w:rsidRPr="00B72889">
        <w:rPr>
          <w:b/>
          <w:u w:val="single"/>
        </w:rPr>
        <w:t>Odpověď</w:t>
      </w:r>
      <w:r w:rsidRPr="00B72889">
        <w:rPr>
          <w:b/>
        </w:rPr>
        <w:t xml:space="preserve">: </w:t>
      </w:r>
      <w:r w:rsidR="00D3624B" w:rsidRPr="00B72889">
        <w:t>Pokud projekt předloží kraj</w:t>
      </w:r>
      <w:r w:rsidR="00ED3BFC" w:rsidRPr="00B72889">
        <w:t>,</w:t>
      </w:r>
      <w:r w:rsidR="00D3624B" w:rsidRPr="00B72889">
        <w:t xml:space="preserve"> k nedovolené veřejné podpoře nedojde</w:t>
      </w:r>
      <w:r w:rsidR="000C45E9" w:rsidRPr="00B72889">
        <w:t>, protože</w:t>
      </w:r>
      <w:r w:rsidR="00D3624B" w:rsidRPr="00B72889">
        <w:t xml:space="preserve"> nejsou kumulativně naplněny čtyři definiční znaky veřejné podpory dle článku 107</w:t>
      </w:r>
      <w:r w:rsidR="000C45E9" w:rsidRPr="00B72889">
        <w:t>,</w:t>
      </w:r>
      <w:r w:rsidR="00D3624B" w:rsidRPr="00B72889">
        <w:t xml:space="preserve"> odstavce 1 Smlouvy o fungování Evropské unie.</w:t>
      </w:r>
    </w:p>
    <w:p w:rsidR="00C94DFF" w:rsidRPr="00B72889" w:rsidRDefault="00C94DFF" w:rsidP="00C94DFF">
      <w:pPr>
        <w:jc w:val="both"/>
        <w:rPr>
          <w:b/>
        </w:rPr>
      </w:pPr>
    </w:p>
    <w:p w:rsidR="00C94DFF" w:rsidRPr="00B72889" w:rsidRDefault="00C94DFF" w:rsidP="00C94DFF">
      <w:pPr>
        <w:jc w:val="both"/>
        <w:rPr>
          <w:b/>
        </w:rPr>
      </w:pPr>
      <w:r w:rsidRPr="00B72889">
        <w:rPr>
          <w:b/>
        </w:rPr>
        <w:t>-----------------------------------------------------------------------------------------------------------------</w:t>
      </w:r>
    </w:p>
    <w:p w:rsidR="00C94DFF" w:rsidRPr="00B72889" w:rsidRDefault="00C94DFF" w:rsidP="00C94DFF">
      <w:pPr>
        <w:numPr>
          <w:ilvl w:val="0"/>
          <w:numId w:val="2"/>
        </w:numPr>
        <w:ind w:left="0" w:firstLine="0"/>
        <w:jc w:val="both"/>
        <w:rPr>
          <w:b/>
        </w:rPr>
      </w:pPr>
      <w:r w:rsidRPr="00B72889">
        <w:rPr>
          <w:b/>
        </w:rPr>
        <w:t>Existuje již nějaké ocenění přínosů plánovaných pro výzvu IOP 19 nebo se předpokládá, že přínosy pro CBA bude oceňovat žadatel v doložené studii proveditelnosti (příloha žádosti o finanční podporu)?</w:t>
      </w:r>
    </w:p>
    <w:p w:rsidR="00C94DFF" w:rsidRPr="00B72889" w:rsidRDefault="00C94DFF" w:rsidP="00C94DFF">
      <w:pPr>
        <w:jc w:val="both"/>
        <w:rPr>
          <w:b/>
        </w:rPr>
      </w:pPr>
    </w:p>
    <w:p w:rsidR="00C94DFF" w:rsidRPr="00B72889" w:rsidRDefault="00C94DFF" w:rsidP="00C94DFF">
      <w:pPr>
        <w:jc w:val="both"/>
        <w:rPr>
          <w:b/>
        </w:rPr>
      </w:pPr>
      <w:r w:rsidRPr="00B72889">
        <w:rPr>
          <w:b/>
          <w:u w:val="single"/>
        </w:rPr>
        <w:t>Odpověď</w:t>
      </w:r>
      <w:r w:rsidRPr="00B72889">
        <w:rPr>
          <w:b/>
        </w:rPr>
        <w:t xml:space="preserve">: </w:t>
      </w:r>
      <w:r w:rsidR="00ED3BFC" w:rsidRPr="00B72889">
        <w:t>P</w:t>
      </w:r>
      <w:r w:rsidR="00D3624B" w:rsidRPr="00B72889">
        <w:t>řínosy ocení žadatel</w:t>
      </w:r>
      <w:r w:rsidR="00ED3BFC" w:rsidRPr="00B72889">
        <w:t>.</w:t>
      </w:r>
    </w:p>
    <w:p w:rsidR="00C94DFF" w:rsidRPr="00B72889" w:rsidRDefault="00C94DFF" w:rsidP="00C94DFF">
      <w:pPr>
        <w:jc w:val="both"/>
        <w:rPr>
          <w:b/>
        </w:rPr>
      </w:pPr>
    </w:p>
    <w:p w:rsidR="00C94DFF" w:rsidRPr="00B72889" w:rsidRDefault="00C94DFF" w:rsidP="00C94DFF">
      <w:pPr>
        <w:jc w:val="both"/>
        <w:rPr>
          <w:b/>
        </w:rPr>
      </w:pPr>
      <w:r w:rsidRPr="00B72889">
        <w:rPr>
          <w:b/>
        </w:rPr>
        <w:t>-----------------------------------------------------------------------------------------------------------------</w:t>
      </w:r>
    </w:p>
    <w:p w:rsidR="00C94DFF" w:rsidRPr="00B72889" w:rsidRDefault="00C94DFF" w:rsidP="00C94DFF">
      <w:pPr>
        <w:numPr>
          <w:ilvl w:val="0"/>
          <w:numId w:val="2"/>
        </w:numPr>
        <w:ind w:left="0" w:firstLine="0"/>
        <w:jc w:val="both"/>
        <w:rPr>
          <w:b/>
        </w:rPr>
      </w:pPr>
      <w:r w:rsidRPr="00B72889">
        <w:rPr>
          <w:b/>
        </w:rPr>
        <w:t>PPŽP, s. 15: je uvedeno „V případě, že příjemce uplatní výdaj na záruku na jakost dodaného plnění, jedná se o výdaj způsobilý. Aby mohly být výdaje na záruku jakosti způsobilé, je ve smlouvě s dodavatelem nutné jejich vyčíslení“, znamená to tedy, že příjemce musí po dodavateli požadovat ocenění minimální zákonné 2leté záruky za jakost nebo/i jiné delší záruky za jakost sjednané smlouvou?</w:t>
      </w:r>
    </w:p>
    <w:p w:rsidR="00C94DFF" w:rsidRPr="00B72889" w:rsidRDefault="00C94DFF" w:rsidP="00C94DFF">
      <w:pPr>
        <w:jc w:val="both"/>
        <w:rPr>
          <w:b/>
        </w:rPr>
      </w:pPr>
    </w:p>
    <w:p w:rsidR="00C94DFF" w:rsidRPr="00B72889" w:rsidRDefault="00C94DFF" w:rsidP="00C94DFF">
      <w:pPr>
        <w:jc w:val="both"/>
        <w:rPr>
          <w:b/>
        </w:rPr>
      </w:pPr>
      <w:r w:rsidRPr="00B72889">
        <w:rPr>
          <w:b/>
          <w:u w:val="single"/>
        </w:rPr>
        <w:t>Odpověď</w:t>
      </w:r>
      <w:r w:rsidRPr="00B72889">
        <w:rPr>
          <w:b/>
        </w:rPr>
        <w:t xml:space="preserve">: </w:t>
      </w:r>
    </w:p>
    <w:p w:rsidR="000C45E9" w:rsidRPr="00B72889" w:rsidRDefault="00F86F56" w:rsidP="000C45E9">
      <w:pPr>
        <w:pStyle w:val="Normlnweb"/>
        <w:shd w:val="clear" w:color="auto" w:fill="FFFFFF"/>
        <w:jc w:val="both"/>
      </w:pPr>
      <w:r w:rsidRPr="00B72889">
        <w:t xml:space="preserve">V případě, že příjemce uplatní výdaj na záruku na jakost dodaného plnění, jedná se o výdaj způsobilý, pokud jsou splněny všechny ostatní podmínky způsobilosti, uvedené v Příručce pro žadatele a příjemce, jako je soulad se zákonem o veřejných zakázkách, přímá souvislost výdaje s projektem, jeho efektivnost, doba realizace projektu apod. Aby mohly být výdaje na záruku jakosti způsobilé, je nutné v zadávací dokumentaci a smlouvě s dodavatelem jednoznačně vymezit a oddělit požadovanou záruku za plnění (záruka za jakost plnění). Její délku si může zadavatel v zadávací dokumentaci stanovit a jednoznačně oddělit servisní služby. Pokud by byly se zárukou za jakost spojeny výdaje mimo období realizace projektu, jde o nezpůsobilé výdaje. </w:t>
      </w:r>
    </w:p>
    <w:p w:rsidR="000C45E9" w:rsidRPr="00B72889" w:rsidRDefault="00F86F56" w:rsidP="000C45E9">
      <w:pPr>
        <w:pStyle w:val="Normlnweb"/>
        <w:shd w:val="clear" w:color="auto" w:fill="FFFFFF"/>
        <w:jc w:val="both"/>
      </w:pPr>
      <w:r w:rsidRPr="00B72889">
        <w:t>Záruční doba začíná běžet dnem podpisu Akceptačního protokolu ze strany zadavatele/příjemce, jak musí být uvedeno ve smlouvě s dodavatelem.</w:t>
      </w:r>
    </w:p>
    <w:p w:rsidR="000C45E9" w:rsidRPr="00B72889" w:rsidRDefault="00F86F56" w:rsidP="000C45E9">
      <w:pPr>
        <w:pStyle w:val="Normlnweb"/>
        <w:shd w:val="clear" w:color="auto" w:fill="FFFFFF"/>
        <w:jc w:val="both"/>
      </w:pPr>
      <w:r w:rsidRPr="00B72889">
        <w:t>Výdaje vztahující se k záruce jsou způsobilé pouze v období realizace projektu. Část výdajů spadající do období udržitelnosti je nezpůsobilá.</w:t>
      </w:r>
    </w:p>
    <w:p w:rsidR="000C45E9" w:rsidRPr="00B72889" w:rsidRDefault="00F86F56" w:rsidP="000C45E9">
      <w:pPr>
        <w:pStyle w:val="Normlnweb"/>
        <w:shd w:val="clear" w:color="auto" w:fill="FFFFFF"/>
        <w:jc w:val="both"/>
      </w:pPr>
      <w:r w:rsidRPr="00B72889">
        <w:lastRenderedPageBreak/>
        <w:t>Jakékoliv servisní služby jsou nezpůsobilé – jedná se o provozní výdaje, které nelze hradit ze strukturálních fondů.</w:t>
      </w:r>
    </w:p>
    <w:p w:rsidR="00C94DFF" w:rsidRPr="00C30EE6" w:rsidRDefault="00F86F56" w:rsidP="00C30EE6">
      <w:pPr>
        <w:pStyle w:val="Normlnweb"/>
        <w:shd w:val="clear" w:color="auto" w:fill="FFFFFF"/>
        <w:jc w:val="both"/>
        <w:rPr>
          <w:bCs/>
        </w:rPr>
      </w:pPr>
      <w:r w:rsidRPr="00B72889">
        <w:rPr>
          <w:bCs/>
        </w:rPr>
        <w:t xml:space="preserve">Doporučený postup: </w:t>
      </w:r>
      <w:r w:rsidRPr="00B72889">
        <w:t xml:space="preserve">zadavatel v předmětu zakázky vymezí požadavek na dílo, jeho záruku za kvalitu a požadavek na servisní služby po dokončení díla s tím, že za dílo a servisní služby uchazeč nabídne cenu, aby bylo možno jednoznačně určit, které výdaje jsou spojené s provedením díla a které se servisními, tedy provozními výdaji. </w:t>
      </w:r>
      <w:r w:rsidRPr="00B72889">
        <w:rPr>
          <w:bCs/>
        </w:rPr>
        <w:t>Zároveň by měl zadavatel v hodnocení nabídek hodnotit cenu celkové zakázky včetně servisu, aby bylo zamezeno financování nedotované části realizace zakázky (servisních/provozních služeb) ze strukturálních fondů na základě způsobu hodnocení nabídek (např. cena díla/cena budoucího servisu).  Z hlediska veřejných výdajů jde o jedny veřejné prostředky a zadavatel musí zachovávat principy hospodárnosti v rámci celé veřejné zakázky, nejenom vlastní nedotované části projektu.</w:t>
      </w:r>
    </w:p>
    <w:p w:rsidR="00C94DFF" w:rsidRPr="00B72889" w:rsidRDefault="00C94DFF" w:rsidP="00C94DFF">
      <w:pPr>
        <w:jc w:val="both"/>
        <w:rPr>
          <w:b/>
        </w:rPr>
      </w:pPr>
      <w:r w:rsidRPr="00B72889">
        <w:rPr>
          <w:b/>
        </w:rPr>
        <w:t>-----------------------------------------------------------------------------------------------------------------</w:t>
      </w:r>
    </w:p>
    <w:p w:rsidR="00C94DFF" w:rsidRPr="00B72889" w:rsidRDefault="00C94DFF" w:rsidP="00C94DFF">
      <w:pPr>
        <w:numPr>
          <w:ilvl w:val="0"/>
          <w:numId w:val="2"/>
        </w:numPr>
        <w:ind w:left="0" w:firstLine="0"/>
        <w:jc w:val="both"/>
        <w:rPr>
          <w:b/>
        </w:rPr>
      </w:pPr>
      <w:r w:rsidRPr="00B72889">
        <w:rPr>
          <w:b/>
        </w:rPr>
        <w:t xml:space="preserve">PPŽP, s. 15: mezi nezpůsobilými výdaji jsou uvedeny také osobní náklady a cestovní náhrady, vč. obligatorních výdajů k osobním nákladům. Kraj počítal s tím, že by studii proveditelnosti a žádost o </w:t>
      </w:r>
      <w:proofErr w:type="spellStart"/>
      <w:r w:rsidRPr="00B72889">
        <w:rPr>
          <w:b/>
        </w:rPr>
        <w:t>fin</w:t>
      </w:r>
      <w:proofErr w:type="spellEnd"/>
      <w:r w:rsidRPr="00B72889">
        <w:rPr>
          <w:b/>
        </w:rPr>
        <w:t xml:space="preserve">. </w:t>
      </w:r>
      <w:proofErr w:type="gramStart"/>
      <w:r w:rsidRPr="00B72889">
        <w:rPr>
          <w:b/>
        </w:rPr>
        <w:t>podporu</w:t>
      </w:r>
      <w:proofErr w:type="gramEnd"/>
      <w:r w:rsidRPr="00B72889">
        <w:rPr>
          <w:b/>
        </w:rPr>
        <w:t xml:space="preserve"> připravil vlastními zaměstnanci. V takovém případě však mzdové náklady nelze nárokovat, avšak pokud by kraj FS realizoval </w:t>
      </w:r>
      <w:proofErr w:type="spellStart"/>
      <w:r w:rsidRPr="00B72889">
        <w:rPr>
          <w:b/>
        </w:rPr>
        <w:t>dodavatelsky</w:t>
      </w:r>
      <w:proofErr w:type="spellEnd"/>
      <w:r w:rsidRPr="00B72889">
        <w:rPr>
          <w:b/>
        </w:rPr>
        <w:t>, náklady by byly způsobilé. Tj. v tomto smyslu finanční zvýhodnění, pokud kraj si FS de facto objedná než v případě, že by si ji vytvořil sám. Jeví se nám to jako méně hospodárný pohled. Platí tedy toto pravidlo uvedené v PPŽP (tj. zpracování FS ve vlastní režii-nezpůsobilé, zhotovení dodavatelem-způsobilé)?</w:t>
      </w:r>
    </w:p>
    <w:p w:rsidR="00C94DFF" w:rsidRPr="00B72889" w:rsidRDefault="00C94DFF" w:rsidP="00C94DFF">
      <w:pPr>
        <w:jc w:val="both"/>
        <w:rPr>
          <w:b/>
        </w:rPr>
      </w:pPr>
    </w:p>
    <w:p w:rsidR="00C94DFF" w:rsidRPr="00B72889" w:rsidRDefault="00C94DFF" w:rsidP="00C94DFF">
      <w:pPr>
        <w:jc w:val="both"/>
        <w:rPr>
          <w:b/>
        </w:rPr>
      </w:pPr>
      <w:r w:rsidRPr="00B72889">
        <w:rPr>
          <w:b/>
          <w:u w:val="single"/>
        </w:rPr>
        <w:t>Odpověď</w:t>
      </w:r>
      <w:r w:rsidRPr="00B72889">
        <w:rPr>
          <w:b/>
        </w:rPr>
        <w:t xml:space="preserve">: </w:t>
      </w:r>
      <w:r w:rsidR="006420D4" w:rsidRPr="00B72889">
        <w:t>Ano platí</w:t>
      </w:r>
    </w:p>
    <w:p w:rsidR="00C94DFF" w:rsidRPr="00B72889" w:rsidRDefault="00C94DFF" w:rsidP="00C94DFF">
      <w:pPr>
        <w:jc w:val="both"/>
        <w:rPr>
          <w:b/>
        </w:rPr>
      </w:pPr>
    </w:p>
    <w:p w:rsidR="00C94DFF" w:rsidRPr="00B72889" w:rsidRDefault="00C94DFF" w:rsidP="00C94DFF">
      <w:pPr>
        <w:jc w:val="both"/>
        <w:rPr>
          <w:b/>
        </w:rPr>
      </w:pPr>
      <w:r w:rsidRPr="00B72889">
        <w:rPr>
          <w:b/>
        </w:rPr>
        <w:t>-----------------------------------------------------------------------------------------------------------------</w:t>
      </w:r>
    </w:p>
    <w:p w:rsidR="00C94DFF" w:rsidRPr="00B72889" w:rsidRDefault="00C94DFF" w:rsidP="00C94DFF">
      <w:pPr>
        <w:numPr>
          <w:ilvl w:val="0"/>
          <w:numId w:val="2"/>
        </w:numPr>
        <w:ind w:left="0" w:firstLine="0"/>
        <w:jc w:val="both"/>
        <w:rPr>
          <w:b/>
        </w:rPr>
      </w:pPr>
      <w:r w:rsidRPr="00B72889">
        <w:rPr>
          <w:b/>
        </w:rPr>
        <w:t xml:space="preserve">PA Rozvoj služeb TCK, kap. 4.3 (s. 7): jako řešení této oblasti jsou uvedeny mj. služby: „Modelování, monitoring, analýza a vizualizace krajiny; pořízení dat šikmých snímků, družicových dat, digitálních modelů reliéfu a povrchu a dat inženýrských sítí.“ Pro aktualizaci dat předpokládáme, že pro zástupce kraje bude ideálně potřeba 1 ks notebooku, který mu umožní monitorovat, příp. upravovat data v terénu. Bylo by v rámci této aktivity způsobilé pořízení 1 ks notebooku k monitoringu mapových vrstev (PA, s. 7), jako pořízení DHM? </w:t>
      </w:r>
    </w:p>
    <w:p w:rsidR="00C94DFF" w:rsidRPr="00B72889" w:rsidRDefault="00C94DFF" w:rsidP="00C94DFF">
      <w:pPr>
        <w:jc w:val="both"/>
        <w:rPr>
          <w:b/>
        </w:rPr>
      </w:pPr>
      <w:r w:rsidRPr="00B72889">
        <w:rPr>
          <w:b/>
        </w:rPr>
        <w:t>Dále, považuje se za způsobilý výdaj na pořízení cca 2-5 ks notebooků vč. SW, které by zefektivnily práci členů PT při přípravě a realizaci projektu, pokud je budou využívat členové PT ve vazbě na monitoring přípravy a realizaci projektu v investiční fázi (tj. cca 1,5 roku) a v době udržitelnosti (jako pořízení DHM)?</w:t>
      </w:r>
    </w:p>
    <w:p w:rsidR="00C94DFF" w:rsidRPr="00B72889" w:rsidRDefault="00C94DFF" w:rsidP="00C94DFF">
      <w:pPr>
        <w:jc w:val="both"/>
        <w:rPr>
          <w:b/>
        </w:rPr>
      </w:pPr>
    </w:p>
    <w:p w:rsidR="00C94DFF" w:rsidRPr="00B72889" w:rsidRDefault="00C94DFF" w:rsidP="00C94DFF">
      <w:pPr>
        <w:jc w:val="both"/>
        <w:rPr>
          <w:b/>
        </w:rPr>
      </w:pPr>
      <w:r w:rsidRPr="00B72889">
        <w:rPr>
          <w:b/>
          <w:u w:val="single"/>
        </w:rPr>
        <w:t>Odpověď</w:t>
      </w:r>
      <w:r w:rsidRPr="00B72889">
        <w:rPr>
          <w:b/>
        </w:rPr>
        <w:t xml:space="preserve">: </w:t>
      </w:r>
      <w:r w:rsidR="006420D4" w:rsidRPr="00B72889">
        <w:t>Pokud pořízení DHM souvisí přímo s realizací projektu a je podstatné pro dosažení cílů projektu, je to způsobil</w:t>
      </w:r>
      <w:r w:rsidR="00ED3BFC" w:rsidRPr="00B72889">
        <w:t>ý výdaj</w:t>
      </w:r>
      <w:r w:rsidR="006420D4" w:rsidRPr="00B72889">
        <w:t>.</w:t>
      </w:r>
      <w:r w:rsidR="00ED3BFC" w:rsidRPr="00B72889">
        <w:t xml:space="preserve"> Je nutné prokázat, že </w:t>
      </w:r>
      <w:r w:rsidR="000C45E9" w:rsidRPr="00B72889">
        <w:t xml:space="preserve">se </w:t>
      </w:r>
      <w:r w:rsidR="00ED3BFC" w:rsidRPr="00B72889">
        <w:t>pořízený majetek v době realizace a udržitelnosti plně využívá pro projekt. Pokud se bude využívat pro jiné aktivity, je způsobilý</w:t>
      </w:r>
      <w:r w:rsidR="000C45E9" w:rsidRPr="00B72889">
        <w:t>m</w:t>
      </w:r>
      <w:r w:rsidR="00ED3BFC" w:rsidRPr="00B72889">
        <w:t xml:space="preserve"> výdaj</w:t>
      </w:r>
      <w:r w:rsidR="000C45E9" w:rsidRPr="00B72889">
        <w:t>em poměrná část ceny</w:t>
      </w:r>
      <w:r w:rsidR="00ED3BFC" w:rsidRPr="00B72889">
        <w:t>.</w:t>
      </w:r>
      <w:r w:rsidR="000C45E9" w:rsidRPr="00B72889">
        <w:t xml:space="preserve"> </w:t>
      </w:r>
      <w:r w:rsidR="00ED3BFC" w:rsidRPr="00B72889">
        <w:t xml:space="preserve"> </w:t>
      </w:r>
    </w:p>
    <w:p w:rsidR="00C94DFF" w:rsidRPr="00B72889" w:rsidRDefault="00C94DFF" w:rsidP="00C94DFF">
      <w:pPr>
        <w:jc w:val="both"/>
        <w:rPr>
          <w:b/>
        </w:rPr>
      </w:pPr>
    </w:p>
    <w:p w:rsidR="00C94DFF" w:rsidRPr="00B72889" w:rsidRDefault="00C94DFF" w:rsidP="00C94DFF">
      <w:pPr>
        <w:jc w:val="both"/>
        <w:rPr>
          <w:b/>
        </w:rPr>
      </w:pPr>
      <w:r w:rsidRPr="00B72889">
        <w:rPr>
          <w:b/>
        </w:rPr>
        <w:t>-----------------------------------------------------------------------------------------------------------------</w:t>
      </w:r>
    </w:p>
    <w:p w:rsidR="00C94DFF" w:rsidRPr="00B72889" w:rsidRDefault="00C94DFF" w:rsidP="00C94DFF">
      <w:pPr>
        <w:numPr>
          <w:ilvl w:val="0"/>
          <w:numId w:val="2"/>
        </w:numPr>
        <w:ind w:left="0" w:firstLine="0"/>
        <w:jc w:val="both"/>
        <w:rPr>
          <w:b/>
        </w:rPr>
      </w:pPr>
      <w:r w:rsidRPr="00B72889">
        <w:rPr>
          <w:b/>
        </w:rPr>
        <w:t xml:space="preserve">PA Rozvoj služeb TCK, kap. 4.1 (s. 5): Je možné, aby jeden kraj pořídil (nakoupil) v rámci aktivity „Rozvoj videokonferenčního systému“ hardware a SW pro provoz videokonference mezi jednotlivými kraji? Předpokládáme, že jeden kraj nakoupí HW pro videokonferenční systém pro kraje ČR, zapojené kraje pak budou tento systém využívat. Tj. přínosy budou mít všechny zapojené kraje (v rámci výzvy IOP 19), investiční náklady jen jeden kraj. To by znamenalo, že pořizovací náklady by se </w:t>
      </w:r>
      <w:r w:rsidRPr="00B72889">
        <w:rPr>
          <w:b/>
        </w:rPr>
        <w:lastRenderedPageBreak/>
        <w:t>promítly do CBA jednoho kraje, avšak přínosy (a provozní náklady) by bylo nutno promítnout do CBA všech v budoucnu zapojených krajů. Jaký je k tomu postoj poskytovatele dotace? Předpokládá se tato struktura? Vyjádření je nezbytné do 30. 9. 2013 (ke konkrétnímu řešení je možné spojit se se zástupci MMR ČR/CRR prostřednictvím videokonference ještě v průběhu 09/2013). Je možné, aby výstupy (tj. službu videokonference) využívali i právnické osoby, které nejsou příjemci (např. hl. m. Praha, ORP krajů)?</w:t>
      </w:r>
    </w:p>
    <w:p w:rsidR="00C94DFF" w:rsidRPr="00B72889" w:rsidRDefault="00C94DFF" w:rsidP="00C94DFF">
      <w:pPr>
        <w:jc w:val="both"/>
        <w:rPr>
          <w:b/>
        </w:rPr>
      </w:pPr>
    </w:p>
    <w:p w:rsidR="00C94DFF" w:rsidRPr="00B72889" w:rsidRDefault="00C94DFF" w:rsidP="00C94DFF">
      <w:pPr>
        <w:jc w:val="both"/>
        <w:rPr>
          <w:b/>
        </w:rPr>
      </w:pPr>
      <w:r w:rsidRPr="00B72889">
        <w:rPr>
          <w:b/>
          <w:u w:val="single"/>
        </w:rPr>
        <w:t>Odpověď</w:t>
      </w:r>
      <w:r w:rsidRPr="00B72889">
        <w:rPr>
          <w:b/>
        </w:rPr>
        <w:t xml:space="preserve">: </w:t>
      </w:r>
      <w:r w:rsidR="00ED3BFC" w:rsidRPr="00B72889">
        <w:t>A</w:t>
      </w:r>
      <w:r w:rsidR="006523DE" w:rsidRPr="00B72889">
        <w:t>ktivit</w:t>
      </w:r>
      <w:r w:rsidR="00ED3BFC" w:rsidRPr="00B72889">
        <w:t>a</w:t>
      </w:r>
      <w:r w:rsidR="006523DE" w:rsidRPr="00B72889">
        <w:t xml:space="preserve"> ne</w:t>
      </w:r>
      <w:r w:rsidR="00ED3BFC" w:rsidRPr="00B72889">
        <w:t>ní</w:t>
      </w:r>
      <w:r w:rsidR="006523DE" w:rsidRPr="00B72889">
        <w:t xml:space="preserve"> shodě s výzvou a výdaje na n</w:t>
      </w:r>
      <w:r w:rsidR="000C45E9" w:rsidRPr="00B72889">
        <w:t>i</w:t>
      </w:r>
      <w:r w:rsidR="006523DE" w:rsidRPr="00B72889">
        <w:t xml:space="preserve"> ne</w:t>
      </w:r>
      <w:r w:rsidR="00ED3BFC" w:rsidRPr="00B72889">
        <w:t xml:space="preserve">jsou </w:t>
      </w:r>
      <w:r w:rsidR="006523DE" w:rsidRPr="00B72889">
        <w:t xml:space="preserve">způsobilé. </w:t>
      </w:r>
    </w:p>
    <w:p w:rsidR="00C94DFF" w:rsidRPr="00B72889" w:rsidRDefault="00C94DFF" w:rsidP="00C94DFF">
      <w:pPr>
        <w:jc w:val="both"/>
        <w:rPr>
          <w:b/>
        </w:rPr>
      </w:pPr>
    </w:p>
    <w:p w:rsidR="00C94DFF" w:rsidRPr="00B72889" w:rsidRDefault="00C94DFF" w:rsidP="00C94DFF">
      <w:pPr>
        <w:jc w:val="both"/>
        <w:rPr>
          <w:b/>
        </w:rPr>
      </w:pPr>
      <w:r w:rsidRPr="00B72889">
        <w:rPr>
          <w:b/>
        </w:rPr>
        <w:t>-----------------------------------------------------------------------------------------------------------------</w:t>
      </w:r>
    </w:p>
    <w:p w:rsidR="00C94DFF" w:rsidRPr="00B72889" w:rsidRDefault="00C94DFF" w:rsidP="00C94DFF">
      <w:pPr>
        <w:numPr>
          <w:ilvl w:val="0"/>
          <w:numId w:val="2"/>
        </w:numPr>
        <w:ind w:left="0" w:firstLine="0"/>
        <w:jc w:val="both"/>
        <w:rPr>
          <w:b/>
        </w:rPr>
      </w:pPr>
      <w:r w:rsidRPr="00B72889">
        <w:rPr>
          <w:b/>
        </w:rPr>
        <w:t>Jak budeme posuzovat nezpůsobilý servis ve „způsobilé“ záruce?</w:t>
      </w:r>
    </w:p>
    <w:p w:rsidR="00C94DFF" w:rsidRPr="00B72889" w:rsidRDefault="00C94DFF" w:rsidP="00C94DFF">
      <w:pPr>
        <w:jc w:val="both"/>
        <w:rPr>
          <w:b/>
          <w:u w:val="single"/>
        </w:rPr>
      </w:pPr>
    </w:p>
    <w:p w:rsidR="00C94DFF" w:rsidRPr="00B72889" w:rsidRDefault="00C94DFF" w:rsidP="00C94DFF">
      <w:pPr>
        <w:jc w:val="both"/>
        <w:rPr>
          <w:b/>
        </w:rPr>
      </w:pPr>
      <w:r w:rsidRPr="00B72889">
        <w:rPr>
          <w:b/>
          <w:u w:val="single"/>
        </w:rPr>
        <w:t>Odpověď</w:t>
      </w:r>
      <w:r w:rsidRPr="00B72889">
        <w:rPr>
          <w:b/>
        </w:rPr>
        <w:t xml:space="preserve">: </w:t>
      </w:r>
    </w:p>
    <w:p w:rsidR="00C94DFF" w:rsidRPr="00B72889" w:rsidRDefault="00C94DFF" w:rsidP="00C94DFF">
      <w:pPr>
        <w:jc w:val="both"/>
        <w:rPr>
          <w:b/>
        </w:rPr>
      </w:pPr>
    </w:p>
    <w:p w:rsidR="000C45E9" w:rsidRPr="00B72889" w:rsidRDefault="00F86F56" w:rsidP="000C45E9">
      <w:pPr>
        <w:pStyle w:val="Normlnweb"/>
        <w:shd w:val="clear" w:color="auto" w:fill="FFFFFF"/>
        <w:jc w:val="both"/>
      </w:pPr>
      <w:r w:rsidRPr="00B72889">
        <w:t xml:space="preserve">V případě, že příjemce uplatní výdaj na záruku na jakost dodaného plnění, jedná se o výdaj způsobilý, pokud jsou splněny všechny ostatní podmínky způsobilosti, uvedené v Příručce pro žadatele a příjemce, jako je soulad se zákonem o veřejných zakázkách, přímá souvislost výdaje s projektem, jeho efektivnost, doba realizace projektu. </w:t>
      </w:r>
    </w:p>
    <w:p w:rsidR="000C45E9" w:rsidRPr="00B72889" w:rsidRDefault="00F86F56" w:rsidP="000C45E9">
      <w:pPr>
        <w:pStyle w:val="Normlnweb"/>
        <w:shd w:val="clear" w:color="auto" w:fill="FFFFFF"/>
        <w:jc w:val="both"/>
      </w:pPr>
      <w:r w:rsidRPr="00B72889">
        <w:t xml:space="preserve">Aby mohly být výdaje na záruku jakosti způsobilé, je nutné v zadávací dokumentaci a smlouvě s dodavatelem jednoznačně vymezit a oddělit požadovanou záruku za plnění (záruka za jakost plnění). Její délku si může zadavatel v zadávací dokumentaci stanovit a jednoznačně oddělit servisní služby. Pokud by byly se zárukou za jakost spojeny výdaje mimo období realizace projektu, jde o nezpůsobilé výdaje. </w:t>
      </w:r>
    </w:p>
    <w:p w:rsidR="000C45E9" w:rsidRPr="00B72889" w:rsidRDefault="00F86F56" w:rsidP="000C45E9">
      <w:pPr>
        <w:pStyle w:val="Normlnweb"/>
        <w:shd w:val="clear" w:color="auto" w:fill="FFFFFF"/>
        <w:jc w:val="both"/>
      </w:pPr>
      <w:r w:rsidRPr="00B72889">
        <w:t>Záruční doba začíná běžet dnem podpisu Akceptačního protokolu ze strany zadavatele/příjemce, jak musí být uvedeno ve smlouvě s dodavatelem.</w:t>
      </w:r>
    </w:p>
    <w:p w:rsidR="000C45E9" w:rsidRPr="00B72889" w:rsidRDefault="00F86F56" w:rsidP="000C45E9">
      <w:pPr>
        <w:pStyle w:val="Normlnweb"/>
        <w:shd w:val="clear" w:color="auto" w:fill="FFFFFF"/>
        <w:jc w:val="both"/>
      </w:pPr>
      <w:r w:rsidRPr="00B72889">
        <w:t>Výdaje vztahující se k záruce jsou způsobilé pouze v období realizace projektu. Část výdajů spadající do období udržitelnosti je nezpůsobilá.</w:t>
      </w:r>
    </w:p>
    <w:p w:rsidR="000C45E9" w:rsidRPr="00B72889" w:rsidRDefault="00F86F56" w:rsidP="000C45E9">
      <w:pPr>
        <w:pStyle w:val="Normlnweb"/>
        <w:shd w:val="clear" w:color="auto" w:fill="FFFFFF"/>
        <w:jc w:val="both"/>
      </w:pPr>
      <w:r w:rsidRPr="00B72889">
        <w:t>Jakékoliv servisní služby jsou nezpůsobilé – jedná se o provozní výdaje, které nelze hradit ze strukturálních fondů.</w:t>
      </w:r>
    </w:p>
    <w:p w:rsidR="000C45E9" w:rsidRPr="00B72889" w:rsidRDefault="00F86F56" w:rsidP="000C45E9">
      <w:pPr>
        <w:pStyle w:val="Normlnweb"/>
        <w:shd w:val="clear" w:color="auto" w:fill="FFFFFF"/>
        <w:jc w:val="both"/>
        <w:rPr>
          <w:bCs/>
        </w:rPr>
      </w:pPr>
      <w:r w:rsidRPr="00B72889">
        <w:rPr>
          <w:bCs/>
        </w:rPr>
        <w:t xml:space="preserve">Doporučený postup: </w:t>
      </w:r>
      <w:r w:rsidRPr="00B72889">
        <w:t xml:space="preserve">zadavatel v předmětu zakázky vymezí požadavek na dílo, jeho záruku za kvalitu a požadavek na servisní služby po dokončení díla s tím, že za dílo a servisní služby uchazeč nabídne cenu, aby bylo možno jednoznačně určit, které výdaje jsou spojené s provedením díla a které se servisními, tedy provozními výdaji. </w:t>
      </w:r>
      <w:r w:rsidRPr="00B72889">
        <w:rPr>
          <w:bCs/>
        </w:rPr>
        <w:t>Zároveň by měl zadavatel v hodnocení nabídek hodnotit cenu celkové zakázky včetně servisu, aby bylo zamezeno financování nedotované části realizace zakázky (servisních/provozních služeb) ze strukturálních fondů na základě způsobu hodnocení nabídek (např. cena díla/cena budoucího servisu).  Z hlediska veřejných výdajů jde o jedny veřejné prostředky a zadavatel musí zachovávat principy hospodárnosti v rámci celé veřejné zakázky, nejenom vlastní nedotované části projektu.</w:t>
      </w:r>
    </w:p>
    <w:p w:rsidR="000C45E9" w:rsidRPr="00B72889" w:rsidRDefault="000C45E9" w:rsidP="00C94DFF">
      <w:pPr>
        <w:jc w:val="both"/>
        <w:rPr>
          <w:b/>
        </w:rPr>
      </w:pPr>
    </w:p>
    <w:p w:rsidR="00C94DFF" w:rsidRPr="00B72889" w:rsidRDefault="00C94DFF" w:rsidP="00C94DFF">
      <w:pPr>
        <w:jc w:val="both"/>
        <w:rPr>
          <w:b/>
        </w:rPr>
      </w:pPr>
      <w:r w:rsidRPr="00B72889">
        <w:rPr>
          <w:b/>
        </w:rPr>
        <w:t>-----------------------------------------------------------------------------------------------------------------</w:t>
      </w:r>
    </w:p>
    <w:p w:rsidR="008B4A16" w:rsidRPr="00B72889" w:rsidRDefault="008B4A16" w:rsidP="00B72889">
      <w:pPr>
        <w:numPr>
          <w:ilvl w:val="0"/>
          <w:numId w:val="2"/>
        </w:numPr>
        <w:ind w:left="0" w:firstLine="0"/>
        <w:jc w:val="both"/>
        <w:rPr>
          <w:b/>
        </w:rPr>
      </w:pPr>
      <w:r w:rsidRPr="00B72889">
        <w:rPr>
          <w:b/>
        </w:rPr>
        <w:t>Je způsobilé pořízení digitalizační jednotky k rentgenu?</w:t>
      </w:r>
    </w:p>
    <w:p w:rsidR="00B72889" w:rsidRPr="00B72889" w:rsidRDefault="00B72889" w:rsidP="008B4A16">
      <w:pPr>
        <w:jc w:val="both"/>
        <w:rPr>
          <w:b/>
          <w:u w:val="single"/>
        </w:rPr>
      </w:pPr>
    </w:p>
    <w:p w:rsidR="008B4A16" w:rsidRPr="00B72889" w:rsidRDefault="008B4A16" w:rsidP="008B4A16">
      <w:pPr>
        <w:jc w:val="both"/>
        <w:rPr>
          <w:b/>
        </w:rPr>
      </w:pPr>
      <w:r w:rsidRPr="00B72889">
        <w:rPr>
          <w:b/>
          <w:u w:val="single"/>
        </w:rPr>
        <w:t>Odpověď</w:t>
      </w:r>
      <w:r w:rsidRPr="00B72889">
        <w:rPr>
          <w:b/>
        </w:rPr>
        <w:t xml:space="preserve">: </w:t>
      </w:r>
    </w:p>
    <w:p w:rsidR="00B72889" w:rsidRDefault="00B72889" w:rsidP="00B72889"/>
    <w:p w:rsidR="00B72889" w:rsidRPr="00B72889" w:rsidRDefault="00B72889" w:rsidP="00B72889">
      <w:r w:rsidRPr="00B72889">
        <w:t>Ne, není. Pořízení digitalizační jednotky rentgenu není v souladu s oblastí intervence 2.1</w:t>
      </w:r>
      <w:r w:rsidR="00C30EE6">
        <w:t>.</w:t>
      </w:r>
    </w:p>
    <w:p w:rsidR="008B4A16" w:rsidRPr="00B72889" w:rsidRDefault="008B4A16" w:rsidP="008B4A16"/>
    <w:p w:rsidR="008B4A16" w:rsidRPr="00B72889" w:rsidRDefault="008B4A16" w:rsidP="008B4A16">
      <w:pPr>
        <w:jc w:val="both"/>
        <w:rPr>
          <w:b/>
        </w:rPr>
      </w:pPr>
      <w:r w:rsidRPr="00B72889">
        <w:rPr>
          <w:b/>
        </w:rPr>
        <w:t>-----------------------------------------------------------------------------------------------------------------</w:t>
      </w:r>
    </w:p>
    <w:p w:rsidR="008B4A16" w:rsidRPr="00B72889" w:rsidRDefault="008B4A16" w:rsidP="00B72889">
      <w:pPr>
        <w:numPr>
          <w:ilvl w:val="0"/>
          <w:numId w:val="2"/>
        </w:numPr>
        <w:ind w:left="0" w:firstLine="0"/>
        <w:jc w:val="both"/>
        <w:rPr>
          <w:b/>
        </w:rPr>
      </w:pPr>
      <w:r w:rsidRPr="00B72889">
        <w:rPr>
          <w:b/>
        </w:rPr>
        <w:t>Je způsobilé pořízení nového rentgen</w:t>
      </w:r>
      <w:r w:rsidR="00C30EE6">
        <w:rPr>
          <w:b/>
        </w:rPr>
        <w:t>u včetně digitalizační jednotky</w:t>
      </w:r>
      <w:r w:rsidRPr="00B72889">
        <w:rPr>
          <w:b/>
        </w:rPr>
        <w:t>?</w:t>
      </w:r>
    </w:p>
    <w:p w:rsidR="00B72889" w:rsidRPr="00B72889" w:rsidRDefault="00B72889" w:rsidP="008B4A16">
      <w:pPr>
        <w:jc w:val="both"/>
        <w:rPr>
          <w:b/>
          <w:u w:val="single"/>
        </w:rPr>
      </w:pPr>
    </w:p>
    <w:p w:rsidR="008B4A16" w:rsidRPr="00B72889" w:rsidRDefault="008B4A16" w:rsidP="008B4A16">
      <w:pPr>
        <w:jc w:val="both"/>
        <w:rPr>
          <w:b/>
        </w:rPr>
      </w:pPr>
      <w:r w:rsidRPr="00B72889">
        <w:rPr>
          <w:b/>
          <w:u w:val="single"/>
        </w:rPr>
        <w:t>Odpověď</w:t>
      </w:r>
      <w:r w:rsidRPr="00B72889">
        <w:rPr>
          <w:b/>
        </w:rPr>
        <w:t xml:space="preserve">: </w:t>
      </w:r>
    </w:p>
    <w:p w:rsidR="00B72889" w:rsidRDefault="00B72889"/>
    <w:p w:rsidR="00C94DFF" w:rsidRDefault="00B72889">
      <w:pPr>
        <w:pBdr>
          <w:bottom w:val="single" w:sz="6" w:space="1" w:color="auto"/>
        </w:pBdr>
      </w:pPr>
      <w:r w:rsidRPr="00B72889">
        <w:t>Ne, není. Pořízení rentgenu není v souladu s oblastí intervence 2.1</w:t>
      </w:r>
      <w:r w:rsidR="00C30EE6">
        <w:t>.</w:t>
      </w:r>
    </w:p>
    <w:p w:rsidR="00533C35" w:rsidRDefault="00533C35"/>
    <w:p w:rsidR="00533C35" w:rsidRPr="00533C35" w:rsidRDefault="00533C35" w:rsidP="00760B9A">
      <w:pPr>
        <w:pStyle w:val="Prosttext"/>
        <w:numPr>
          <w:ilvl w:val="0"/>
          <w:numId w:val="2"/>
        </w:numPr>
        <w:ind w:left="0" w:hanging="11"/>
        <w:jc w:val="both"/>
        <w:rPr>
          <w:rFonts w:ascii="Times New Roman" w:eastAsia="Times New Roman" w:hAnsi="Times New Roman" w:cs="Times New Roman"/>
          <w:b/>
          <w:sz w:val="24"/>
          <w:szCs w:val="24"/>
        </w:rPr>
      </w:pPr>
      <w:r w:rsidRPr="00533C35">
        <w:rPr>
          <w:rFonts w:ascii="Times New Roman" w:eastAsia="Times New Roman" w:hAnsi="Times New Roman" w:cs="Times New Roman"/>
          <w:b/>
          <w:sz w:val="24"/>
          <w:szCs w:val="24"/>
        </w:rPr>
        <w:t>Patří mezi způsobilé výdaje ve výzvě č. 19 z IOP nákup archivačních a zálohovacích technologií do vozů záchranné služby, jejichž zřizovatelem je krajský úřad? (Tyto technologie umožňují archivaci a zálohování telefonických rozhovorů a zdravotní dokumentace pacientů, což umožňuje zkvalitnění a zefektivnění služeb záchranné služby, čímž dle našeho názoru přispívají k rozvoji e-</w:t>
      </w:r>
      <w:proofErr w:type="spellStart"/>
      <w:r w:rsidRPr="00533C35">
        <w:rPr>
          <w:rFonts w:ascii="Times New Roman" w:eastAsia="Times New Roman" w:hAnsi="Times New Roman" w:cs="Times New Roman"/>
          <w:b/>
          <w:sz w:val="24"/>
          <w:szCs w:val="24"/>
        </w:rPr>
        <w:t>Health</w:t>
      </w:r>
      <w:proofErr w:type="spellEnd"/>
      <w:r w:rsidRPr="00533C35">
        <w:rPr>
          <w:rFonts w:ascii="Times New Roman" w:eastAsia="Times New Roman" w:hAnsi="Times New Roman" w:cs="Times New Roman"/>
          <w:b/>
          <w:sz w:val="24"/>
          <w:szCs w:val="24"/>
        </w:rPr>
        <w:t>.)</w:t>
      </w:r>
    </w:p>
    <w:p w:rsidR="00533C35" w:rsidRDefault="00533C35"/>
    <w:p w:rsidR="00533C35" w:rsidRDefault="00533C35">
      <w:pPr>
        <w:rPr>
          <w:b/>
        </w:rPr>
      </w:pPr>
      <w:r w:rsidRPr="00533C35">
        <w:rPr>
          <w:b/>
          <w:u w:val="single"/>
        </w:rPr>
        <w:t>Odpověď</w:t>
      </w:r>
      <w:r w:rsidRPr="00533C35">
        <w:rPr>
          <w:b/>
        </w:rPr>
        <w:t>:</w:t>
      </w:r>
    </w:p>
    <w:p w:rsidR="00533C35" w:rsidRDefault="00533C35">
      <w:pPr>
        <w:rPr>
          <w:b/>
        </w:rPr>
      </w:pPr>
    </w:p>
    <w:p w:rsidR="00533C35" w:rsidRPr="00533C35" w:rsidRDefault="00533C35" w:rsidP="00533C35">
      <w:pPr>
        <w:pStyle w:val="Prosttext"/>
        <w:jc w:val="both"/>
        <w:rPr>
          <w:rFonts w:ascii="Times New Roman" w:eastAsia="Times New Roman" w:hAnsi="Times New Roman" w:cs="Times New Roman"/>
          <w:sz w:val="24"/>
          <w:szCs w:val="24"/>
        </w:rPr>
      </w:pPr>
      <w:r w:rsidRPr="00533C35">
        <w:rPr>
          <w:rFonts w:ascii="Times New Roman" w:eastAsia="Times New Roman" w:hAnsi="Times New Roman" w:cs="Times New Roman"/>
          <w:sz w:val="24"/>
          <w:szCs w:val="24"/>
        </w:rPr>
        <w:t>Pokud je to součást nemocničního cyklu (jako PO krajů) a pokud by šlo o zpřístupnění dokumentace pacienta ZZS (a opačně) je možné po zdůvodnění a popsání formy  realizovat. Archivace volání není možná.</w:t>
      </w:r>
    </w:p>
    <w:p w:rsidR="00533C35" w:rsidRPr="00804C71" w:rsidRDefault="00804C71">
      <w:r w:rsidRPr="00804C71">
        <w:t>----------------------------------------</w:t>
      </w:r>
      <w:r>
        <w:t>-------------------------------------------------------------------------</w:t>
      </w:r>
    </w:p>
    <w:p w:rsidR="00533C35" w:rsidRPr="00533C35" w:rsidRDefault="00533C35" w:rsidP="00760B9A">
      <w:pPr>
        <w:pStyle w:val="Prosttext"/>
        <w:numPr>
          <w:ilvl w:val="0"/>
          <w:numId w:val="2"/>
        </w:numPr>
        <w:ind w:left="0" w:firstLine="0"/>
        <w:jc w:val="both"/>
        <w:rPr>
          <w:rFonts w:ascii="Times New Roman" w:eastAsia="Times New Roman" w:hAnsi="Times New Roman" w:cs="Times New Roman"/>
          <w:b/>
          <w:sz w:val="24"/>
          <w:szCs w:val="24"/>
        </w:rPr>
      </w:pPr>
      <w:r w:rsidRPr="00533C35">
        <w:rPr>
          <w:rFonts w:ascii="Times New Roman" w:eastAsia="Times New Roman" w:hAnsi="Times New Roman" w:cs="Times New Roman"/>
          <w:b/>
          <w:sz w:val="24"/>
          <w:szCs w:val="24"/>
        </w:rPr>
        <w:t xml:space="preserve">Je to v souladu s výzvou č. 19 IOP, když budeme mít nastaven indikátor s počáteční hodnotou 0 a výchozí hodnotou 1 a budeme realizovat všechny 4 aktivity (Rozvoj </w:t>
      </w:r>
      <w:proofErr w:type="spellStart"/>
      <w:r w:rsidRPr="00533C35">
        <w:rPr>
          <w:rFonts w:ascii="Times New Roman" w:eastAsia="Times New Roman" w:hAnsi="Times New Roman" w:cs="Times New Roman"/>
          <w:b/>
          <w:sz w:val="24"/>
          <w:szCs w:val="24"/>
        </w:rPr>
        <w:t>eHealth</w:t>
      </w:r>
      <w:proofErr w:type="spellEnd"/>
      <w:r w:rsidRPr="00533C35">
        <w:rPr>
          <w:rFonts w:ascii="Times New Roman" w:eastAsia="Times New Roman" w:hAnsi="Times New Roman" w:cs="Times New Roman"/>
          <w:b/>
          <w:sz w:val="24"/>
          <w:szCs w:val="24"/>
        </w:rPr>
        <w:t>, Rozvoj služeb technologických center krajů, Bezpečnostní infrastruktura TCK, Zpřístupnění digitálního obsahu)?</w:t>
      </w:r>
      <w:r>
        <w:rPr>
          <w:rFonts w:ascii="Times New Roman" w:eastAsia="Times New Roman" w:hAnsi="Times New Roman" w:cs="Times New Roman"/>
          <w:b/>
          <w:sz w:val="24"/>
          <w:szCs w:val="24"/>
        </w:rPr>
        <w:t xml:space="preserve"> </w:t>
      </w:r>
      <w:r w:rsidRPr="00533C35">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w:t>
      </w:r>
      <w:r w:rsidRPr="00533C35">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w:t>
      </w:r>
      <w:r w:rsidRPr="00533C35">
        <w:rPr>
          <w:rFonts w:ascii="Times New Roman" w:eastAsia="Times New Roman" w:hAnsi="Times New Roman" w:cs="Times New Roman"/>
          <w:sz w:val="24"/>
          <w:szCs w:val="24"/>
        </w:rPr>
        <w:t>2013)</w:t>
      </w:r>
    </w:p>
    <w:p w:rsidR="00533C35" w:rsidRPr="00533C35" w:rsidRDefault="00533C35" w:rsidP="00533C35">
      <w:pPr>
        <w:pStyle w:val="Prosttext"/>
        <w:jc w:val="both"/>
        <w:rPr>
          <w:rFonts w:ascii="Times New Roman" w:eastAsia="Times New Roman" w:hAnsi="Times New Roman" w:cs="Times New Roman"/>
          <w:b/>
          <w:sz w:val="24"/>
          <w:szCs w:val="24"/>
          <w:u w:val="single"/>
        </w:rPr>
      </w:pPr>
    </w:p>
    <w:p w:rsidR="00533C35" w:rsidRPr="00533C35" w:rsidRDefault="00533C35" w:rsidP="00533C35">
      <w:pPr>
        <w:pStyle w:val="Prosttext"/>
        <w:jc w:val="both"/>
        <w:rPr>
          <w:rFonts w:ascii="Times New Roman" w:eastAsia="Times New Roman" w:hAnsi="Times New Roman" w:cs="Times New Roman"/>
          <w:b/>
          <w:sz w:val="24"/>
          <w:szCs w:val="24"/>
          <w:u w:val="single"/>
        </w:rPr>
      </w:pPr>
      <w:r w:rsidRPr="00533C35">
        <w:rPr>
          <w:rFonts w:ascii="Times New Roman" w:eastAsia="Times New Roman" w:hAnsi="Times New Roman" w:cs="Times New Roman"/>
          <w:b/>
          <w:sz w:val="24"/>
          <w:szCs w:val="24"/>
          <w:u w:val="single"/>
        </w:rPr>
        <w:t>Odpověď</w:t>
      </w:r>
      <w:r w:rsidRPr="00533C35">
        <w:rPr>
          <w:rFonts w:ascii="Times New Roman" w:eastAsia="Times New Roman" w:hAnsi="Times New Roman" w:cs="Times New Roman"/>
          <w:b/>
          <w:sz w:val="24"/>
          <w:szCs w:val="24"/>
        </w:rPr>
        <w:t>:</w:t>
      </w:r>
    </w:p>
    <w:p w:rsidR="00533C35" w:rsidRDefault="00533C35" w:rsidP="00533C35">
      <w:pPr>
        <w:pStyle w:val="Prosttext"/>
        <w:jc w:val="both"/>
        <w:rPr>
          <w:color w:val="1F497D"/>
        </w:rPr>
      </w:pPr>
    </w:p>
    <w:p w:rsidR="00533C35" w:rsidRPr="00533C35" w:rsidRDefault="00533C35" w:rsidP="00533C35">
      <w:pPr>
        <w:pStyle w:val="Prosttext"/>
        <w:jc w:val="both"/>
        <w:rPr>
          <w:rFonts w:ascii="Times New Roman" w:eastAsia="Times New Roman" w:hAnsi="Times New Roman" w:cs="Times New Roman"/>
          <w:b/>
          <w:sz w:val="24"/>
          <w:szCs w:val="24"/>
        </w:rPr>
      </w:pPr>
      <w:r w:rsidRPr="00533C35">
        <w:rPr>
          <w:rFonts w:ascii="Times New Roman" w:eastAsia="Times New Roman" w:hAnsi="Times New Roman" w:cs="Times New Roman"/>
          <w:sz w:val="24"/>
          <w:szCs w:val="24"/>
        </w:rPr>
        <w:t>Ano je to možné, je však potřeba náležitě zdůvodnit jakým způsobem  bude monitorovací indikátor vykazován a jak jednotlivé aktivity přispějí k jeho naplnění.</w:t>
      </w:r>
    </w:p>
    <w:p w:rsidR="00533C35" w:rsidRPr="00533C35" w:rsidRDefault="00804C71">
      <w:pPr>
        <w:rPr>
          <w:b/>
        </w:rPr>
      </w:pPr>
      <w:r>
        <w:rPr>
          <w:b/>
        </w:rPr>
        <w:t>-----------------------------------------------------------------------------------------------------------------</w:t>
      </w:r>
    </w:p>
    <w:p w:rsidR="00533C35" w:rsidRPr="00804C71" w:rsidRDefault="00533C35" w:rsidP="00804C71">
      <w:pPr>
        <w:pStyle w:val="Odstavecseseznamem"/>
        <w:numPr>
          <w:ilvl w:val="0"/>
          <w:numId w:val="2"/>
        </w:numPr>
        <w:ind w:hanging="720"/>
        <w:jc w:val="both"/>
        <w:rPr>
          <w:b/>
        </w:rPr>
      </w:pPr>
      <w:r w:rsidRPr="00804C71">
        <w:rPr>
          <w:rFonts w:ascii="Times New Roman" w:eastAsia="Times New Roman" w:hAnsi="Times New Roman" w:cs="Times New Roman"/>
          <w:b/>
          <w:sz w:val="24"/>
          <w:szCs w:val="24"/>
        </w:rPr>
        <w:t xml:space="preserve">Spadá do způsobilých výdajů (u aktivity „Zpřístupnění digitálního obsahu“) digitální </w:t>
      </w:r>
      <w:proofErr w:type="spellStart"/>
      <w:r w:rsidRPr="00804C71">
        <w:rPr>
          <w:rFonts w:ascii="Times New Roman" w:eastAsia="Times New Roman" w:hAnsi="Times New Roman" w:cs="Times New Roman"/>
          <w:b/>
          <w:sz w:val="24"/>
          <w:szCs w:val="24"/>
        </w:rPr>
        <w:t>scanovací</w:t>
      </w:r>
      <w:proofErr w:type="spellEnd"/>
      <w:r w:rsidRPr="00804C71">
        <w:rPr>
          <w:rFonts w:ascii="Times New Roman" w:eastAsia="Times New Roman" w:hAnsi="Times New Roman" w:cs="Times New Roman"/>
          <w:b/>
          <w:sz w:val="24"/>
          <w:szCs w:val="24"/>
        </w:rPr>
        <w:t xml:space="preserve"> linky? </w:t>
      </w:r>
      <w:r w:rsidRPr="00804C71">
        <w:rPr>
          <w:rFonts w:ascii="Times New Roman" w:eastAsia="Times New Roman" w:hAnsi="Times New Roman" w:cs="Times New Roman"/>
          <w:sz w:val="24"/>
          <w:szCs w:val="24"/>
        </w:rPr>
        <w:t>(</w:t>
      </w:r>
      <w:r w:rsidRPr="00804C71">
        <w:rPr>
          <w:rFonts w:ascii="Times New Roman" w:hAnsi="Times New Roman" w:cs="Times New Roman"/>
          <w:sz w:val="24"/>
          <w:szCs w:val="24"/>
        </w:rPr>
        <w:t>13. 11. 2013)</w:t>
      </w:r>
    </w:p>
    <w:p w:rsidR="00533C35" w:rsidRPr="00533C35" w:rsidRDefault="00533C35" w:rsidP="00533C35">
      <w:pPr>
        <w:pStyle w:val="Prosttext"/>
        <w:jc w:val="both"/>
        <w:rPr>
          <w:rFonts w:ascii="Times New Roman" w:eastAsia="Times New Roman" w:hAnsi="Times New Roman" w:cs="Times New Roman"/>
          <w:b/>
          <w:sz w:val="24"/>
          <w:szCs w:val="24"/>
          <w:u w:val="single"/>
        </w:rPr>
      </w:pPr>
      <w:r w:rsidRPr="00533C35">
        <w:rPr>
          <w:rFonts w:ascii="Times New Roman" w:eastAsia="Times New Roman" w:hAnsi="Times New Roman" w:cs="Times New Roman"/>
          <w:b/>
          <w:sz w:val="24"/>
          <w:szCs w:val="24"/>
          <w:u w:val="single"/>
        </w:rPr>
        <w:t>Odpověď</w:t>
      </w:r>
      <w:r w:rsidRPr="00533C35">
        <w:rPr>
          <w:rFonts w:ascii="Times New Roman" w:eastAsia="Times New Roman" w:hAnsi="Times New Roman" w:cs="Times New Roman"/>
          <w:b/>
          <w:sz w:val="24"/>
          <w:szCs w:val="24"/>
        </w:rPr>
        <w:t>:</w:t>
      </w:r>
    </w:p>
    <w:p w:rsidR="00533C35" w:rsidRPr="00533C35" w:rsidRDefault="00533C35" w:rsidP="00533C35">
      <w:pPr>
        <w:rPr>
          <w:rFonts w:ascii="Calibri" w:hAnsi="Calibri" w:cs="Calibri"/>
          <w:sz w:val="22"/>
          <w:szCs w:val="22"/>
        </w:rPr>
      </w:pPr>
    </w:p>
    <w:p w:rsidR="00533C35" w:rsidRDefault="00533C35" w:rsidP="00533C35">
      <w:r w:rsidRPr="00533C35">
        <w:t>Ano</w:t>
      </w:r>
      <w:r>
        <w:t>.</w:t>
      </w:r>
    </w:p>
    <w:p w:rsidR="00533C35" w:rsidRDefault="00804C71" w:rsidP="00533C35">
      <w:r>
        <w:t>-----------------------------------------------------------------------------------------------------------------</w:t>
      </w:r>
    </w:p>
    <w:p w:rsidR="00533C35" w:rsidRPr="00804C71" w:rsidRDefault="00533C35" w:rsidP="00804C71">
      <w:pPr>
        <w:pStyle w:val="Odstavecseseznamem"/>
        <w:numPr>
          <w:ilvl w:val="0"/>
          <w:numId w:val="2"/>
        </w:numPr>
        <w:ind w:hanging="720"/>
        <w:jc w:val="both"/>
        <w:rPr>
          <w:b/>
        </w:rPr>
      </w:pPr>
      <w:r w:rsidRPr="00804C71">
        <w:rPr>
          <w:rFonts w:ascii="Times New Roman" w:eastAsia="Times New Roman" w:hAnsi="Times New Roman" w:cs="Times New Roman"/>
          <w:b/>
          <w:sz w:val="24"/>
          <w:szCs w:val="24"/>
        </w:rPr>
        <w:t>Za jakých podmínek je aktivita videokonference způsobilá ke spolufinancování</w:t>
      </w:r>
      <w:r w:rsidRPr="00804C71">
        <w:rPr>
          <w:b/>
        </w:rPr>
        <w:t xml:space="preserve">? </w:t>
      </w:r>
      <w:r w:rsidRPr="00804C71">
        <w:rPr>
          <w:rFonts w:ascii="Times New Roman" w:hAnsi="Times New Roman" w:cs="Times New Roman"/>
          <w:sz w:val="24"/>
          <w:szCs w:val="24"/>
        </w:rPr>
        <w:t>(13. 11. 2013)</w:t>
      </w:r>
    </w:p>
    <w:p w:rsidR="00533C35" w:rsidRPr="00533C35" w:rsidRDefault="00533C35" w:rsidP="00533C35">
      <w:pPr>
        <w:pStyle w:val="Prosttext"/>
        <w:jc w:val="both"/>
        <w:rPr>
          <w:rFonts w:ascii="Times New Roman" w:eastAsia="Times New Roman" w:hAnsi="Times New Roman" w:cs="Times New Roman"/>
          <w:b/>
          <w:sz w:val="24"/>
          <w:szCs w:val="24"/>
          <w:u w:val="single"/>
        </w:rPr>
      </w:pPr>
      <w:r w:rsidRPr="00533C35">
        <w:rPr>
          <w:rFonts w:ascii="Times New Roman" w:eastAsia="Times New Roman" w:hAnsi="Times New Roman" w:cs="Times New Roman"/>
          <w:b/>
          <w:sz w:val="24"/>
          <w:szCs w:val="24"/>
          <w:u w:val="single"/>
        </w:rPr>
        <w:t>Odpověď</w:t>
      </w:r>
      <w:r w:rsidRPr="00533C35">
        <w:rPr>
          <w:rFonts w:ascii="Times New Roman" w:eastAsia="Times New Roman" w:hAnsi="Times New Roman" w:cs="Times New Roman"/>
          <w:b/>
          <w:sz w:val="24"/>
          <w:szCs w:val="24"/>
        </w:rPr>
        <w:t>:</w:t>
      </w:r>
    </w:p>
    <w:p w:rsidR="00533C35" w:rsidRDefault="00533C35" w:rsidP="00533C35"/>
    <w:p w:rsidR="00533C35" w:rsidRPr="00533C35" w:rsidRDefault="00533C35" w:rsidP="00533C35">
      <w:pPr>
        <w:jc w:val="both"/>
      </w:pPr>
      <w:r w:rsidRPr="00533C35">
        <w:t xml:space="preserve">Je možné rozvíjet videokonferenční systém pro využití ve smyslu cílení aktivity Rozvoj služeb technologických center krajů, tedy rozšíření, standardizaci nebo zvýšení kvality nabízených ICT služeb, </w:t>
      </w:r>
      <w:r w:rsidRPr="00533C35">
        <w:rPr>
          <w:b/>
        </w:rPr>
        <w:t>které kraj poskytuje směrem do území.</w:t>
      </w:r>
    </w:p>
    <w:p w:rsidR="00533C35" w:rsidRDefault="00804C71">
      <w:r w:rsidRPr="00804C71">
        <w:t>----------</w:t>
      </w:r>
      <w:r>
        <w:t>-------------------------------------------------------------------------------------------------------</w:t>
      </w:r>
    </w:p>
    <w:p w:rsidR="00804C71" w:rsidRDefault="00804C71"/>
    <w:p w:rsidR="00804C71" w:rsidRPr="00760B9A" w:rsidRDefault="00804C71" w:rsidP="00760B9A">
      <w:pPr>
        <w:pStyle w:val="Odstavecseseznamem"/>
        <w:numPr>
          <w:ilvl w:val="0"/>
          <w:numId w:val="2"/>
        </w:numPr>
        <w:spacing w:after="0" w:line="240" w:lineRule="auto"/>
        <w:ind w:left="0" w:firstLine="0"/>
        <w:jc w:val="both"/>
        <w:rPr>
          <w:rFonts w:ascii="Times New Roman" w:hAnsi="Times New Roman" w:cs="Times New Roman"/>
          <w:sz w:val="24"/>
          <w:szCs w:val="24"/>
        </w:rPr>
      </w:pPr>
      <w:r w:rsidRPr="00760B9A">
        <w:rPr>
          <w:rFonts w:ascii="Times New Roman" w:hAnsi="Times New Roman" w:cs="Times New Roman"/>
          <w:b/>
          <w:sz w:val="24"/>
          <w:szCs w:val="24"/>
        </w:rPr>
        <w:t>Pro aktivitu zpřístupňování zdravotnické dokumentace je uvažován rozvoj specializovaného IS krajské nemocnice (obdobný systém není v </w:t>
      </w:r>
      <w:proofErr w:type="gramStart"/>
      <w:r w:rsidRPr="00760B9A">
        <w:rPr>
          <w:rFonts w:ascii="Times New Roman" w:hAnsi="Times New Roman" w:cs="Times New Roman"/>
          <w:b/>
          <w:sz w:val="24"/>
          <w:szCs w:val="24"/>
        </w:rPr>
        <w:t>jiných</w:t>
      </w:r>
      <w:proofErr w:type="gramEnd"/>
      <w:r w:rsidRPr="00760B9A">
        <w:rPr>
          <w:rFonts w:ascii="Times New Roman" w:hAnsi="Times New Roman" w:cs="Times New Roman"/>
          <w:b/>
          <w:sz w:val="24"/>
          <w:szCs w:val="24"/>
        </w:rPr>
        <w:t xml:space="preserve"> zdravotnických zařízení kraje implementován, jedná se o vysoce specializovanou péči, jejíž </w:t>
      </w:r>
      <w:r w:rsidRPr="00760B9A">
        <w:rPr>
          <w:rFonts w:ascii="Times New Roman" w:hAnsi="Times New Roman" w:cs="Times New Roman"/>
          <w:b/>
          <w:sz w:val="24"/>
          <w:szCs w:val="24"/>
        </w:rPr>
        <w:lastRenderedPageBreak/>
        <w:t xml:space="preserve">výstupy  využívají ostatní zdravotnická zařízení – krajská i soukromá). V rámci tohoto rozvoje je nezbytné pořídit 4 moduly IS, které budou majetkově vlastněny krajem a provozovány na infrastruktuře nemocnice v rámci příslušného nemocničního informačního systému vlastněného krajskou nemocnicí. Kraj by tedy tyto pořízené moduly nemocnici zapůjčil za účelem výrazného zvýšení kvality poskytované lékařské péče na území kraje, její efektivity a bezpečnosti přenášených dat s tím, že tyto moduly budou sloužit ke komunikaci a přenosu zdravotnických dat na standardech </w:t>
      </w:r>
      <w:proofErr w:type="spellStart"/>
      <w:r w:rsidRPr="00760B9A">
        <w:rPr>
          <w:rFonts w:ascii="Times New Roman" w:hAnsi="Times New Roman" w:cs="Times New Roman"/>
          <w:b/>
          <w:sz w:val="24"/>
          <w:szCs w:val="24"/>
        </w:rPr>
        <w:t>eHealth</w:t>
      </w:r>
      <w:proofErr w:type="spellEnd"/>
      <w:r w:rsidRPr="00760B9A">
        <w:rPr>
          <w:rFonts w:ascii="Times New Roman" w:hAnsi="Times New Roman" w:cs="Times New Roman"/>
          <w:b/>
          <w:sz w:val="24"/>
          <w:szCs w:val="24"/>
        </w:rPr>
        <w:t xml:space="preserve"> pro všechna ostatní zdravotnická zařízení kraje.  Je možné náklady spojené s pořízením modulů a jejich implementací považovat za uznatelné z pohledu podmínek dotace výzvy IOP č. 19?</w:t>
      </w:r>
      <w:r w:rsidR="00760B9A" w:rsidRPr="00760B9A">
        <w:rPr>
          <w:rFonts w:ascii="Times New Roman" w:hAnsi="Times New Roman" w:cs="Times New Roman"/>
          <w:b/>
          <w:sz w:val="24"/>
          <w:szCs w:val="24"/>
        </w:rPr>
        <w:t xml:space="preserve"> </w:t>
      </w:r>
      <w:r w:rsidR="00760B9A" w:rsidRPr="00760B9A">
        <w:rPr>
          <w:rFonts w:ascii="Times New Roman" w:hAnsi="Times New Roman" w:cs="Times New Roman"/>
          <w:sz w:val="24"/>
          <w:szCs w:val="24"/>
        </w:rPr>
        <w:t>(19. 11. 2013)</w:t>
      </w:r>
    </w:p>
    <w:p w:rsidR="00804C71" w:rsidRDefault="00804C71" w:rsidP="00804C71"/>
    <w:p w:rsidR="00804C71" w:rsidRPr="00533C35" w:rsidRDefault="00804C71" w:rsidP="00804C71">
      <w:pPr>
        <w:pStyle w:val="Prosttext"/>
        <w:jc w:val="both"/>
        <w:rPr>
          <w:rFonts w:ascii="Times New Roman" w:eastAsia="Times New Roman" w:hAnsi="Times New Roman" w:cs="Times New Roman"/>
          <w:b/>
          <w:sz w:val="24"/>
          <w:szCs w:val="24"/>
          <w:u w:val="single"/>
        </w:rPr>
      </w:pPr>
      <w:r w:rsidRPr="00533C35">
        <w:rPr>
          <w:rFonts w:ascii="Times New Roman" w:eastAsia="Times New Roman" w:hAnsi="Times New Roman" w:cs="Times New Roman"/>
          <w:b/>
          <w:sz w:val="24"/>
          <w:szCs w:val="24"/>
          <w:u w:val="single"/>
        </w:rPr>
        <w:t>Odpověď</w:t>
      </w:r>
      <w:r w:rsidRPr="00533C35">
        <w:rPr>
          <w:rFonts w:ascii="Times New Roman" w:eastAsia="Times New Roman" w:hAnsi="Times New Roman" w:cs="Times New Roman"/>
          <w:b/>
          <w:sz w:val="24"/>
          <w:szCs w:val="24"/>
        </w:rPr>
        <w:t>:</w:t>
      </w:r>
    </w:p>
    <w:p w:rsidR="00804C71" w:rsidRDefault="00804C71" w:rsidP="00804C71"/>
    <w:p w:rsidR="00804C71" w:rsidRPr="00804C71" w:rsidRDefault="00804C71" w:rsidP="00804C71">
      <w:pPr>
        <w:jc w:val="both"/>
      </w:pPr>
      <w:r w:rsidRPr="00804C71">
        <w:t xml:space="preserve">Výdaje jsou způsobilé. Je ale nutné postupovat v souladu s PPŽP, příloha č. 12 Podporované aktivity, Aktivita Rozvoj </w:t>
      </w:r>
      <w:proofErr w:type="spellStart"/>
      <w:r w:rsidRPr="00804C71">
        <w:t>eHealth</w:t>
      </w:r>
      <w:proofErr w:type="spellEnd"/>
      <w:r w:rsidRPr="00804C71">
        <w:t>, kde je v kapitole 6 Finanční analýza a plán uvedeno:</w:t>
      </w:r>
    </w:p>
    <w:p w:rsidR="00804C71" w:rsidRPr="00804C71" w:rsidRDefault="00804C71" w:rsidP="00804C71">
      <w:pPr>
        <w:pBdr>
          <w:bottom w:val="single" w:sz="6" w:space="1" w:color="auto"/>
        </w:pBdr>
        <w:jc w:val="both"/>
      </w:pPr>
      <w:r w:rsidRPr="00804C71">
        <w:t>Vzhledem k předpokládanému zapojení krajem zřizovaných institucí (nemocnice, ZZS,…) je v rámci studie proveditelnosti nutné vyřešit právně-majetkový a provozní model pořizovaných systémů.</w:t>
      </w:r>
    </w:p>
    <w:p w:rsidR="00760B9A" w:rsidRDefault="00760B9A" w:rsidP="00804C71">
      <w:pPr>
        <w:pStyle w:val="Odstavecseseznamem"/>
        <w:spacing w:after="0" w:line="240" w:lineRule="auto"/>
        <w:ind w:left="0"/>
        <w:jc w:val="both"/>
      </w:pPr>
    </w:p>
    <w:p w:rsidR="00804C71" w:rsidRPr="00760B9A" w:rsidRDefault="00804C71" w:rsidP="00760B9A">
      <w:pPr>
        <w:pStyle w:val="Odstavecseseznamem"/>
        <w:numPr>
          <w:ilvl w:val="0"/>
          <w:numId w:val="2"/>
        </w:numPr>
        <w:spacing w:after="0" w:line="240" w:lineRule="auto"/>
        <w:ind w:left="0" w:firstLine="0"/>
        <w:jc w:val="both"/>
        <w:rPr>
          <w:rFonts w:ascii="Times New Roman" w:hAnsi="Times New Roman" w:cs="Times New Roman"/>
        </w:rPr>
      </w:pPr>
      <w:r w:rsidRPr="00760B9A">
        <w:rPr>
          <w:rFonts w:ascii="Times New Roman" w:eastAsia="Times New Roman" w:hAnsi="Times New Roman" w:cs="Times New Roman"/>
          <w:b/>
          <w:sz w:val="24"/>
          <w:szCs w:val="24"/>
        </w:rPr>
        <w:t>Dle podmínek výzvy nesmí projekt generovat žádné příjmy, a tedy příspěvky poskytovatelů zdravotnické péče na úhradu provozních nákladů nejsou povoleny. Je však možné, aby byla provozní smlouva uzavřena přímo mezi příslušnými zdravotnickými zařízeními (které budou výstupy projektu užívat) a dodavatelem? Tedy příjemci dotace (kraji) by nevznikl žádný příjem.</w:t>
      </w:r>
      <w:r w:rsidR="00760B9A" w:rsidRPr="00760B9A">
        <w:rPr>
          <w:rFonts w:ascii="Times New Roman" w:eastAsia="Times New Roman" w:hAnsi="Times New Roman" w:cs="Times New Roman"/>
          <w:b/>
          <w:sz w:val="24"/>
          <w:szCs w:val="24"/>
        </w:rPr>
        <w:t xml:space="preserve"> </w:t>
      </w:r>
      <w:r w:rsidR="00760B9A" w:rsidRPr="00760B9A">
        <w:rPr>
          <w:rFonts w:ascii="Times New Roman" w:hAnsi="Times New Roman" w:cs="Times New Roman"/>
          <w:sz w:val="24"/>
          <w:szCs w:val="24"/>
        </w:rPr>
        <w:t>(19. 11. 2013)</w:t>
      </w:r>
    </w:p>
    <w:p w:rsidR="00804C71" w:rsidRPr="00804C71" w:rsidRDefault="00804C71" w:rsidP="00804C71">
      <w:pPr>
        <w:jc w:val="both"/>
        <w:rPr>
          <w:b/>
        </w:rPr>
      </w:pPr>
    </w:p>
    <w:p w:rsidR="00804C71" w:rsidRPr="00533C35" w:rsidRDefault="00804C71" w:rsidP="00804C71">
      <w:pPr>
        <w:pStyle w:val="Prosttext"/>
        <w:jc w:val="both"/>
        <w:rPr>
          <w:rFonts w:ascii="Times New Roman" w:eastAsia="Times New Roman" w:hAnsi="Times New Roman" w:cs="Times New Roman"/>
          <w:b/>
          <w:sz w:val="24"/>
          <w:szCs w:val="24"/>
          <w:u w:val="single"/>
        </w:rPr>
      </w:pPr>
      <w:r w:rsidRPr="00533C35">
        <w:rPr>
          <w:rFonts w:ascii="Times New Roman" w:eastAsia="Times New Roman" w:hAnsi="Times New Roman" w:cs="Times New Roman"/>
          <w:b/>
          <w:sz w:val="24"/>
          <w:szCs w:val="24"/>
          <w:u w:val="single"/>
        </w:rPr>
        <w:t>Odpověď</w:t>
      </w:r>
      <w:r w:rsidRPr="00533C35">
        <w:rPr>
          <w:rFonts w:ascii="Times New Roman" w:eastAsia="Times New Roman" w:hAnsi="Times New Roman" w:cs="Times New Roman"/>
          <w:b/>
          <w:sz w:val="24"/>
          <w:szCs w:val="24"/>
        </w:rPr>
        <w:t>:</w:t>
      </w:r>
    </w:p>
    <w:p w:rsidR="00804C71" w:rsidRDefault="00804C71" w:rsidP="00804C71">
      <w:pPr>
        <w:rPr>
          <w:rFonts w:ascii="Arial" w:eastAsiaTheme="minorHAnsi" w:hAnsi="Arial" w:cs="Arial"/>
          <w:sz w:val="20"/>
          <w:szCs w:val="20"/>
        </w:rPr>
      </w:pPr>
    </w:p>
    <w:p w:rsidR="00804C71" w:rsidRDefault="00804C71" w:rsidP="00804C71">
      <w:pPr>
        <w:jc w:val="both"/>
      </w:pPr>
      <w:r w:rsidRPr="00804C71">
        <w:t>Postup není možný. Po</w:t>
      </w:r>
      <w:r>
        <w:t>d</w:t>
      </w:r>
      <w:r w:rsidRPr="00804C71">
        <w:t>statou jsou příjmy generované projektem, nikoli příjmy kraje.</w:t>
      </w:r>
    </w:p>
    <w:p w:rsidR="00804C71" w:rsidRPr="00804C71" w:rsidRDefault="00804C71" w:rsidP="00804C71">
      <w:pPr>
        <w:jc w:val="both"/>
      </w:pPr>
      <w:r>
        <w:t>-----------------------------------------------------------------------------------------------------------------</w:t>
      </w:r>
    </w:p>
    <w:p w:rsidR="00804C71" w:rsidRPr="00760B9A" w:rsidRDefault="00804C71" w:rsidP="00760B9A">
      <w:pPr>
        <w:pStyle w:val="Odstavecseseznamem"/>
        <w:numPr>
          <w:ilvl w:val="0"/>
          <w:numId w:val="2"/>
        </w:numPr>
        <w:spacing w:after="0" w:line="240" w:lineRule="auto"/>
        <w:ind w:left="0" w:firstLine="0"/>
        <w:jc w:val="both"/>
        <w:rPr>
          <w:rFonts w:ascii="Times New Roman" w:hAnsi="Times New Roman" w:cs="Times New Roman"/>
          <w:sz w:val="24"/>
          <w:szCs w:val="24"/>
        </w:rPr>
      </w:pPr>
      <w:r w:rsidRPr="00760B9A">
        <w:rPr>
          <w:rFonts w:ascii="Times New Roman" w:hAnsi="Times New Roman" w:cs="Times New Roman"/>
          <w:b/>
          <w:sz w:val="24"/>
          <w:szCs w:val="24"/>
        </w:rPr>
        <w:t xml:space="preserve">Je možné v rámci této  výzvy financovat rozvoj IS nemocnic s majetkovou účastí kraje (např. nemocnice ve formě s.r.o., a.s., </w:t>
      </w:r>
      <w:proofErr w:type="spellStart"/>
      <w:proofErr w:type="gramStart"/>
      <w:r w:rsidRPr="00760B9A">
        <w:rPr>
          <w:rFonts w:ascii="Times New Roman" w:hAnsi="Times New Roman" w:cs="Times New Roman"/>
          <w:b/>
          <w:sz w:val="24"/>
          <w:szCs w:val="24"/>
        </w:rPr>
        <w:t>p.o</w:t>
      </w:r>
      <w:proofErr w:type="spellEnd"/>
      <w:r w:rsidRPr="00760B9A">
        <w:rPr>
          <w:rFonts w:ascii="Times New Roman" w:hAnsi="Times New Roman" w:cs="Times New Roman"/>
          <w:b/>
          <w:sz w:val="24"/>
          <w:szCs w:val="24"/>
        </w:rPr>
        <w:t>.</w:t>
      </w:r>
      <w:proofErr w:type="gramEnd"/>
      <w:r w:rsidRPr="00760B9A">
        <w:rPr>
          <w:rFonts w:ascii="Times New Roman" w:hAnsi="Times New Roman" w:cs="Times New Roman"/>
          <w:b/>
          <w:sz w:val="24"/>
          <w:szCs w:val="24"/>
        </w:rPr>
        <w:t>) a zdravotnickým zařízením bez majetkové účasti kraje na území kraje poskytnout k využívání infrastrukturu budovanou v rámci projektu, kterou využít mohou ale nemusí?</w:t>
      </w:r>
      <w:r w:rsidR="00760B9A" w:rsidRPr="00760B9A">
        <w:rPr>
          <w:rFonts w:ascii="Times New Roman" w:hAnsi="Times New Roman" w:cs="Times New Roman"/>
          <w:b/>
          <w:sz w:val="24"/>
          <w:szCs w:val="24"/>
        </w:rPr>
        <w:t xml:space="preserve"> </w:t>
      </w:r>
      <w:r w:rsidR="00760B9A" w:rsidRPr="00760B9A">
        <w:rPr>
          <w:rFonts w:ascii="Times New Roman" w:hAnsi="Times New Roman" w:cs="Times New Roman"/>
          <w:sz w:val="24"/>
          <w:szCs w:val="24"/>
        </w:rPr>
        <w:t>(19. 11. 2013)</w:t>
      </w:r>
    </w:p>
    <w:p w:rsidR="00804C71" w:rsidRPr="00804C71" w:rsidRDefault="00804C71" w:rsidP="00804C71">
      <w:pPr>
        <w:jc w:val="both"/>
        <w:rPr>
          <w:b/>
        </w:rPr>
      </w:pPr>
    </w:p>
    <w:p w:rsidR="00804C71" w:rsidRPr="00533C35" w:rsidRDefault="00804C71" w:rsidP="00804C71">
      <w:pPr>
        <w:pStyle w:val="Prosttext"/>
        <w:jc w:val="both"/>
        <w:rPr>
          <w:rFonts w:ascii="Times New Roman" w:eastAsia="Times New Roman" w:hAnsi="Times New Roman" w:cs="Times New Roman"/>
          <w:b/>
          <w:sz w:val="24"/>
          <w:szCs w:val="24"/>
          <w:u w:val="single"/>
        </w:rPr>
      </w:pPr>
      <w:r w:rsidRPr="00533C35">
        <w:rPr>
          <w:rFonts w:ascii="Times New Roman" w:eastAsia="Times New Roman" w:hAnsi="Times New Roman" w:cs="Times New Roman"/>
          <w:b/>
          <w:sz w:val="24"/>
          <w:szCs w:val="24"/>
          <w:u w:val="single"/>
        </w:rPr>
        <w:t>Odpověď</w:t>
      </w:r>
      <w:r w:rsidRPr="00533C35">
        <w:rPr>
          <w:rFonts w:ascii="Times New Roman" w:eastAsia="Times New Roman" w:hAnsi="Times New Roman" w:cs="Times New Roman"/>
          <w:b/>
          <w:sz w:val="24"/>
          <w:szCs w:val="24"/>
        </w:rPr>
        <w:t>:</w:t>
      </w:r>
    </w:p>
    <w:p w:rsidR="00804C71" w:rsidRDefault="00804C71" w:rsidP="00804C71"/>
    <w:p w:rsidR="00804C71" w:rsidRPr="00804C71" w:rsidRDefault="00804C71" w:rsidP="00804C71">
      <w:pPr>
        <w:jc w:val="both"/>
      </w:pPr>
      <w:r w:rsidRPr="00804C71">
        <w:t xml:space="preserve">Systém je možné nabídnout všem zdravotnickým zařízením za předpokladu rovného přístupu. Tedy možnost využívat systém pak dostanou všechna zdravotnická zařízení na území kraje. A za podmínky, že projekt nebude generovat příjmy. </w:t>
      </w:r>
    </w:p>
    <w:p w:rsidR="00804C71" w:rsidRPr="00804C71" w:rsidRDefault="00804C71" w:rsidP="00804C71">
      <w:r w:rsidRPr="00804C71">
        <w:t>-------------------</w:t>
      </w:r>
      <w:r>
        <w:t>----------------------------------------------------------------------------------------------</w:t>
      </w:r>
    </w:p>
    <w:p w:rsidR="00804C71" w:rsidRPr="00760B9A" w:rsidRDefault="00804C71" w:rsidP="00760B9A">
      <w:pPr>
        <w:pStyle w:val="Odstavecseseznamem"/>
        <w:numPr>
          <w:ilvl w:val="0"/>
          <w:numId w:val="2"/>
        </w:numPr>
        <w:spacing w:after="0" w:line="240" w:lineRule="auto"/>
        <w:ind w:left="0" w:firstLine="0"/>
        <w:jc w:val="both"/>
        <w:rPr>
          <w:rFonts w:ascii="Times New Roman" w:hAnsi="Times New Roman" w:cs="Times New Roman"/>
          <w:sz w:val="24"/>
          <w:szCs w:val="24"/>
        </w:rPr>
      </w:pPr>
      <w:r w:rsidRPr="00760B9A">
        <w:rPr>
          <w:rFonts w:ascii="Times New Roman" w:hAnsi="Times New Roman" w:cs="Times New Roman"/>
          <w:b/>
          <w:sz w:val="24"/>
          <w:szCs w:val="24"/>
        </w:rPr>
        <w:t xml:space="preserve">V rámci žádosti v oblasti </w:t>
      </w:r>
      <w:proofErr w:type="spellStart"/>
      <w:r w:rsidRPr="00760B9A">
        <w:rPr>
          <w:rFonts w:ascii="Times New Roman" w:hAnsi="Times New Roman" w:cs="Times New Roman"/>
          <w:b/>
          <w:sz w:val="24"/>
          <w:szCs w:val="24"/>
        </w:rPr>
        <w:t>eHealth</w:t>
      </w:r>
      <w:proofErr w:type="spellEnd"/>
      <w:r w:rsidRPr="00760B9A">
        <w:rPr>
          <w:rFonts w:ascii="Times New Roman" w:hAnsi="Times New Roman" w:cs="Times New Roman"/>
          <w:b/>
          <w:sz w:val="24"/>
          <w:szCs w:val="24"/>
        </w:rPr>
        <w:t xml:space="preserve"> (</w:t>
      </w:r>
      <w:proofErr w:type="gramStart"/>
      <w:r w:rsidRPr="00760B9A">
        <w:rPr>
          <w:rFonts w:ascii="Times New Roman" w:hAnsi="Times New Roman" w:cs="Times New Roman"/>
          <w:b/>
          <w:sz w:val="24"/>
          <w:szCs w:val="24"/>
        </w:rPr>
        <w:t>19.výzvy</w:t>
      </w:r>
      <w:proofErr w:type="gramEnd"/>
      <w:r w:rsidRPr="00760B9A">
        <w:rPr>
          <w:rFonts w:ascii="Times New Roman" w:hAnsi="Times New Roman" w:cs="Times New Roman"/>
          <w:b/>
          <w:sz w:val="24"/>
          <w:szCs w:val="24"/>
        </w:rPr>
        <w:t xml:space="preserve"> IOP) bude Pardubický kraj řešit projektové záměry ve 4 příspěvkových organizacích. Tyto organizace jsou samostatně fungující subjekty, které mají odlišný výchozí stav pro realizaci </w:t>
      </w:r>
      <w:proofErr w:type="gramStart"/>
      <w:r w:rsidRPr="00760B9A">
        <w:rPr>
          <w:rFonts w:ascii="Times New Roman" w:hAnsi="Times New Roman" w:cs="Times New Roman"/>
          <w:b/>
          <w:sz w:val="24"/>
          <w:szCs w:val="24"/>
        </w:rPr>
        <w:t>projektu a jedná</w:t>
      </w:r>
      <w:proofErr w:type="gramEnd"/>
      <w:r w:rsidRPr="00760B9A">
        <w:rPr>
          <w:rFonts w:ascii="Times New Roman" w:hAnsi="Times New Roman" w:cs="Times New Roman"/>
          <w:b/>
          <w:sz w:val="24"/>
          <w:szCs w:val="24"/>
        </w:rPr>
        <w:t xml:space="preserve"> se také o odlišné záměry. Ač budou záměry soutěženy jako jedna veřejná zakázka na několik dílčích částí, tak realizace jednotlivých záměrů bude probíhat samostatně, odděleně při zohlednění výchozích a provozních podmínek příslušné příspěvkové organizace. Z tohoto důvodu by pro jednodušší následnou realizaci záměrů preferoval žadatel předložení 4 samostatných studií proveditelnosti, tedy pro každou příspěvkovou organizaci samostatně. Prosíme o vyjádření řídící orgán IOP.</w:t>
      </w:r>
      <w:r w:rsidR="00760B9A" w:rsidRPr="00760B9A">
        <w:rPr>
          <w:rFonts w:ascii="Times New Roman" w:hAnsi="Times New Roman" w:cs="Times New Roman"/>
          <w:b/>
          <w:sz w:val="24"/>
          <w:szCs w:val="24"/>
        </w:rPr>
        <w:t xml:space="preserve"> </w:t>
      </w:r>
      <w:r w:rsidR="00760B9A" w:rsidRPr="00760B9A">
        <w:rPr>
          <w:rFonts w:ascii="Times New Roman" w:hAnsi="Times New Roman" w:cs="Times New Roman"/>
          <w:sz w:val="24"/>
          <w:szCs w:val="24"/>
        </w:rPr>
        <w:t>(19. 11. 2013)</w:t>
      </w:r>
    </w:p>
    <w:p w:rsidR="00760B9A" w:rsidRDefault="00760B9A" w:rsidP="00804C71">
      <w:pPr>
        <w:jc w:val="both"/>
      </w:pPr>
    </w:p>
    <w:p w:rsidR="00760B9A" w:rsidRPr="00533C35" w:rsidRDefault="00760B9A" w:rsidP="00760B9A">
      <w:pPr>
        <w:pStyle w:val="Prosttext"/>
        <w:jc w:val="both"/>
        <w:rPr>
          <w:rFonts w:ascii="Times New Roman" w:eastAsia="Times New Roman" w:hAnsi="Times New Roman" w:cs="Times New Roman"/>
          <w:b/>
          <w:sz w:val="24"/>
          <w:szCs w:val="24"/>
          <w:u w:val="single"/>
        </w:rPr>
      </w:pPr>
      <w:r w:rsidRPr="00533C35">
        <w:rPr>
          <w:rFonts w:ascii="Times New Roman" w:eastAsia="Times New Roman" w:hAnsi="Times New Roman" w:cs="Times New Roman"/>
          <w:b/>
          <w:sz w:val="24"/>
          <w:szCs w:val="24"/>
          <w:u w:val="single"/>
        </w:rPr>
        <w:lastRenderedPageBreak/>
        <w:t>Odpověď</w:t>
      </w:r>
      <w:r w:rsidRPr="00533C35">
        <w:rPr>
          <w:rFonts w:ascii="Times New Roman" w:eastAsia="Times New Roman" w:hAnsi="Times New Roman" w:cs="Times New Roman"/>
          <w:b/>
          <w:sz w:val="24"/>
          <w:szCs w:val="24"/>
        </w:rPr>
        <w:t>:</w:t>
      </w:r>
    </w:p>
    <w:p w:rsidR="00804C71" w:rsidRDefault="00804C71" w:rsidP="00804C71">
      <w:pPr>
        <w:rPr>
          <w:color w:val="1F497D"/>
        </w:rPr>
      </w:pPr>
    </w:p>
    <w:p w:rsidR="00760B9A" w:rsidRDefault="00804C71" w:rsidP="00760B9A">
      <w:pPr>
        <w:jc w:val="both"/>
      </w:pPr>
      <w:r w:rsidRPr="00760B9A">
        <w:t>Povinnou přílohou žádosti o dotaci je jedna studie proveditelnosti, která shrnuje informace o celém projektu. Hodnotitelé hodnotí jeden projekt, nikoli čtyři oddělené projekty. Nicméně mohou být 4 dílčí studie proveditelnosti a 1 souhrnná, která je bude obsahovat</w:t>
      </w:r>
    </w:p>
    <w:p w:rsidR="00804C71" w:rsidRPr="00760B9A" w:rsidRDefault="00760B9A" w:rsidP="00760B9A">
      <w:pPr>
        <w:jc w:val="both"/>
      </w:pPr>
      <w:r>
        <w:t>----------------------------------------------------------------------------------------------------------------</w:t>
      </w:r>
      <w:r w:rsidR="00804C71" w:rsidRPr="00760B9A">
        <w:t>.</w:t>
      </w:r>
    </w:p>
    <w:p w:rsidR="00804C71" w:rsidRPr="00760B9A" w:rsidRDefault="00804C71" w:rsidP="00760B9A">
      <w:pPr>
        <w:pStyle w:val="Odstavecseseznamem"/>
        <w:numPr>
          <w:ilvl w:val="0"/>
          <w:numId w:val="2"/>
        </w:numPr>
        <w:spacing w:after="0" w:line="240" w:lineRule="auto"/>
        <w:ind w:left="0" w:firstLine="0"/>
        <w:jc w:val="both"/>
        <w:rPr>
          <w:rFonts w:ascii="Times New Roman" w:hAnsi="Times New Roman" w:cs="Times New Roman"/>
          <w:b/>
          <w:sz w:val="24"/>
          <w:szCs w:val="24"/>
        </w:rPr>
      </w:pPr>
      <w:r w:rsidRPr="00760B9A">
        <w:rPr>
          <w:rFonts w:ascii="Times New Roman" w:hAnsi="Times New Roman" w:cs="Times New Roman"/>
          <w:b/>
          <w:sz w:val="24"/>
          <w:szCs w:val="24"/>
        </w:rPr>
        <w:t>Další dotaz se vztahuje k indikátorům. Předmětem projektu bude realizace elektronických agend pro (jak již bylo zmíněno) celkem 4 příspěvkové organizace Pardubického kraje, přičemž v jedné z těchto organizací budou zaváděny dvě různé, na sobě nezávislé agendy – digitalizace rentgenu (PACS) a elektronický podpis.</w:t>
      </w:r>
    </w:p>
    <w:p w:rsidR="00804C71" w:rsidRPr="00760B9A" w:rsidRDefault="00804C71" w:rsidP="00760B9A">
      <w:pPr>
        <w:jc w:val="both"/>
      </w:pPr>
      <w:r w:rsidRPr="00760B9A">
        <w:rPr>
          <w:b/>
        </w:rPr>
        <w:t>Jak se nahlíží v tomto projektu na stanovení indikátoru Nově plně elektrizované agendy? Bude se jednat o 1 ks (za žadatele – 1 projekt), 4 ks z důvodu zapojení 4 příspěvkových organizací nebo 5 ks z důvodu, že jedna z příspěvkových organizací zavádí dvě nové agendy?</w:t>
      </w:r>
      <w:r w:rsidR="00760B9A">
        <w:t xml:space="preserve"> (19. 11. 2013)</w:t>
      </w:r>
    </w:p>
    <w:p w:rsidR="00760B9A" w:rsidRPr="00760B9A" w:rsidRDefault="00760B9A" w:rsidP="00760B9A">
      <w:pPr>
        <w:jc w:val="both"/>
        <w:rPr>
          <w:b/>
        </w:rPr>
      </w:pPr>
    </w:p>
    <w:p w:rsidR="00760B9A" w:rsidRPr="00533C35" w:rsidRDefault="00760B9A" w:rsidP="00760B9A">
      <w:pPr>
        <w:pStyle w:val="Prosttext"/>
        <w:jc w:val="both"/>
        <w:rPr>
          <w:rFonts w:ascii="Times New Roman" w:eastAsia="Times New Roman" w:hAnsi="Times New Roman" w:cs="Times New Roman"/>
          <w:b/>
          <w:sz w:val="24"/>
          <w:szCs w:val="24"/>
          <w:u w:val="single"/>
        </w:rPr>
      </w:pPr>
      <w:r w:rsidRPr="00533C35">
        <w:rPr>
          <w:rFonts w:ascii="Times New Roman" w:eastAsia="Times New Roman" w:hAnsi="Times New Roman" w:cs="Times New Roman"/>
          <w:b/>
          <w:sz w:val="24"/>
          <w:szCs w:val="24"/>
          <w:u w:val="single"/>
        </w:rPr>
        <w:t>Odpověď</w:t>
      </w:r>
      <w:r w:rsidRPr="00533C35">
        <w:rPr>
          <w:rFonts w:ascii="Times New Roman" w:eastAsia="Times New Roman" w:hAnsi="Times New Roman" w:cs="Times New Roman"/>
          <w:b/>
          <w:sz w:val="24"/>
          <w:szCs w:val="24"/>
        </w:rPr>
        <w:t>:</w:t>
      </w:r>
    </w:p>
    <w:p w:rsidR="00804C71" w:rsidRDefault="00804C71" w:rsidP="00804C71"/>
    <w:p w:rsidR="00804C71" w:rsidRPr="00760B9A" w:rsidRDefault="00804C71" w:rsidP="00760B9A">
      <w:pPr>
        <w:pBdr>
          <w:bottom w:val="single" w:sz="6" w:space="1" w:color="auto"/>
        </w:pBdr>
        <w:jc w:val="both"/>
      </w:pPr>
      <w:r w:rsidRPr="00760B9A">
        <w:t>Je možné uvést hodnotu 5 (počet nových agend) a je potřeba v</w:t>
      </w:r>
      <w:r w:rsidR="00760B9A">
        <w:t> </w:t>
      </w:r>
      <w:r w:rsidRPr="00760B9A">
        <w:t>žádosti o dotaci náležitě zdůvodnit, jakým způsobem  bude monitorovací indikátor vykazován a jak jednotlivé agendy přispějí k</w:t>
      </w:r>
      <w:r w:rsidR="00760B9A">
        <w:t> </w:t>
      </w:r>
      <w:r w:rsidRPr="00760B9A">
        <w:t>jeho naplnění. V</w:t>
      </w:r>
      <w:r w:rsidR="00760B9A">
        <w:t> </w:t>
      </w:r>
      <w:r w:rsidRPr="00760B9A">
        <w:t>monitorovacích zprávách a hlášení o udržitelnosti musí také obsahovat podrobný popis dosažených hodnot monitorovacího indikátoru.</w:t>
      </w:r>
    </w:p>
    <w:p w:rsidR="00B81A75" w:rsidRDefault="00B81A75" w:rsidP="00B81A75">
      <w:pPr>
        <w:pStyle w:val="Odstavecseseznamem"/>
        <w:numPr>
          <w:ilvl w:val="0"/>
          <w:numId w:val="2"/>
        </w:numPr>
        <w:spacing w:after="0" w:line="240" w:lineRule="auto"/>
        <w:ind w:left="0" w:firstLine="0"/>
        <w:jc w:val="both"/>
        <w:rPr>
          <w:rFonts w:ascii="Times New Roman" w:hAnsi="Times New Roman" w:cs="Times New Roman"/>
          <w:b/>
          <w:sz w:val="24"/>
          <w:szCs w:val="24"/>
        </w:rPr>
      </w:pPr>
      <w:r w:rsidRPr="00B81A75">
        <w:rPr>
          <w:rFonts w:ascii="Times New Roman" w:hAnsi="Times New Roman" w:cs="Times New Roman"/>
          <w:b/>
          <w:sz w:val="24"/>
          <w:szCs w:val="24"/>
        </w:rPr>
        <w:t>Mohou být v této výzvě předloženy projekty kraje, i přesto že dosud nezrealizovali nic z předchozí Výzvy č. 8? Musí žadatel do projektových žádostí uvádět, na jaké aktivity z 8. výzvy předkládaný projekt navazuje? Je podmínkou podání projektové žádosti zřízené a funkční technologické centrum?</w:t>
      </w:r>
      <w:r>
        <w:rPr>
          <w:rFonts w:ascii="Times New Roman" w:hAnsi="Times New Roman" w:cs="Times New Roman"/>
          <w:b/>
          <w:sz w:val="24"/>
          <w:szCs w:val="24"/>
        </w:rPr>
        <w:t xml:space="preserve"> </w:t>
      </w:r>
      <w:r>
        <w:rPr>
          <w:rFonts w:ascii="Times New Roman" w:hAnsi="Times New Roman" w:cs="Times New Roman"/>
          <w:sz w:val="24"/>
          <w:szCs w:val="24"/>
        </w:rPr>
        <w:t>(21. 11. 2013)</w:t>
      </w:r>
    </w:p>
    <w:p w:rsidR="00B81A75" w:rsidRPr="00B81A75" w:rsidRDefault="00B81A75" w:rsidP="00B81A75">
      <w:pPr>
        <w:pStyle w:val="Odstavecseseznamem"/>
        <w:spacing w:after="0" w:line="240" w:lineRule="auto"/>
        <w:ind w:left="0"/>
        <w:jc w:val="both"/>
        <w:rPr>
          <w:rFonts w:ascii="Times New Roman" w:hAnsi="Times New Roman" w:cs="Times New Roman"/>
          <w:b/>
          <w:sz w:val="24"/>
          <w:szCs w:val="24"/>
        </w:rPr>
      </w:pPr>
    </w:p>
    <w:p w:rsidR="00B81A75" w:rsidRPr="00533C35" w:rsidRDefault="00B81A75" w:rsidP="00B81A75">
      <w:pPr>
        <w:pStyle w:val="Prosttext"/>
        <w:jc w:val="both"/>
        <w:rPr>
          <w:rFonts w:ascii="Times New Roman" w:eastAsia="Times New Roman" w:hAnsi="Times New Roman" w:cs="Times New Roman"/>
          <w:b/>
          <w:sz w:val="24"/>
          <w:szCs w:val="24"/>
          <w:u w:val="single"/>
        </w:rPr>
      </w:pPr>
      <w:r w:rsidRPr="00533C35">
        <w:rPr>
          <w:rFonts w:ascii="Times New Roman" w:eastAsia="Times New Roman" w:hAnsi="Times New Roman" w:cs="Times New Roman"/>
          <w:b/>
          <w:sz w:val="24"/>
          <w:szCs w:val="24"/>
          <w:u w:val="single"/>
        </w:rPr>
        <w:t>Odpověď</w:t>
      </w:r>
      <w:r w:rsidRPr="00533C35">
        <w:rPr>
          <w:rFonts w:ascii="Times New Roman" w:eastAsia="Times New Roman" w:hAnsi="Times New Roman" w:cs="Times New Roman"/>
          <w:b/>
          <w:sz w:val="24"/>
          <w:szCs w:val="24"/>
        </w:rPr>
        <w:t>:</w:t>
      </w:r>
    </w:p>
    <w:p w:rsidR="00804C71" w:rsidRDefault="00804C71"/>
    <w:p w:rsidR="00B81A75" w:rsidRPr="00B81A75" w:rsidRDefault="00B81A75" w:rsidP="00B81A75">
      <w:pPr>
        <w:jc w:val="both"/>
      </w:pPr>
      <w:r>
        <w:t>N</w:t>
      </w:r>
      <w:r w:rsidRPr="00B81A75">
        <w:t>ení kritériem způsobilosti v 19. Výzvě mít hotové TC – vycházíme z toho, že si příjemce může tyto potřeby řešit i jinak než v </w:t>
      </w:r>
      <w:proofErr w:type="spellStart"/>
      <w:r w:rsidRPr="00B81A75">
        <w:t>IOPu</w:t>
      </w:r>
      <w:proofErr w:type="spellEnd"/>
      <w:r w:rsidRPr="00B81A75">
        <w:t xml:space="preserve"> a bude záležet na to, jestli výstupy z 19. výzvy budou fungovat i bez funkčních výstupů z 8. Výzvy. Musí být splněny cíle projektu.</w:t>
      </w:r>
    </w:p>
    <w:p w:rsidR="00B81A75" w:rsidRDefault="00B81A75">
      <w:r>
        <w:t>-----------------------------------------------------------------------------------------------------------------</w:t>
      </w:r>
    </w:p>
    <w:p w:rsidR="00B81A75" w:rsidRPr="00B81A75" w:rsidRDefault="00B81A75" w:rsidP="00B81A75">
      <w:pPr>
        <w:pStyle w:val="Odstavecseseznamem"/>
        <w:numPr>
          <w:ilvl w:val="0"/>
          <w:numId w:val="2"/>
        </w:numPr>
        <w:spacing w:after="0" w:line="240" w:lineRule="auto"/>
        <w:ind w:left="0" w:firstLine="0"/>
        <w:jc w:val="both"/>
        <w:rPr>
          <w:rFonts w:ascii="Times New Roman" w:hAnsi="Times New Roman" w:cs="Times New Roman"/>
          <w:b/>
          <w:sz w:val="24"/>
          <w:szCs w:val="24"/>
        </w:rPr>
      </w:pPr>
      <w:r w:rsidRPr="00B81A75">
        <w:rPr>
          <w:rFonts w:ascii="Times New Roman" w:hAnsi="Times New Roman" w:cs="Times New Roman"/>
          <w:b/>
          <w:sz w:val="24"/>
          <w:szCs w:val="24"/>
        </w:rPr>
        <w:t xml:space="preserve">Jednou z podporovaných aktivit je „Rozvoj </w:t>
      </w:r>
      <w:proofErr w:type="spellStart"/>
      <w:r w:rsidRPr="00B81A75">
        <w:rPr>
          <w:rFonts w:ascii="Times New Roman" w:hAnsi="Times New Roman" w:cs="Times New Roman"/>
          <w:b/>
          <w:sz w:val="24"/>
          <w:szCs w:val="24"/>
        </w:rPr>
        <w:t>eHealth</w:t>
      </w:r>
      <w:proofErr w:type="spellEnd"/>
      <w:r w:rsidRPr="00B81A75">
        <w:rPr>
          <w:rFonts w:ascii="Times New Roman" w:hAnsi="Times New Roman" w:cs="Times New Roman"/>
          <w:b/>
          <w:sz w:val="24"/>
          <w:szCs w:val="24"/>
        </w:rPr>
        <w:t>“ – dle výstupů se jedná o sdílení zdravotnické dokumentace mezi zdravotnickými zařízeními navzájem a se zdravotnickou záchrannou službou a o implementaci různých systémů – vzhledem k tomu, že příjemcem může být pouze kraj, tak všechny tyto aktivity by měly být realizovány přímo na kraji (výstupy by měl spravovat kraj).</w:t>
      </w:r>
    </w:p>
    <w:p w:rsidR="00B81A75" w:rsidRPr="00B81A75" w:rsidRDefault="00B81A75" w:rsidP="00B81A75">
      <w:pPr>
        <w:pStyle w:val="Odstavecseseznamem"/>
        <w:spacing w:before="120" w:after="120" w:line="240" w:lineRule="auto"/>
        <w:ind w:left="0"/>
        <w:jc w:val="both"/>
        <w:rPr>
          <w:rFonts w:ascii="Times New Roman" w:hAnsi="Times New Roman" w:cs="Times New Roman"/>
          <w:b/>
          <w:sz w:val="24"/>
          <w:szCs w:val="24"/>
        </w:rPr>
      </w:pPr>
      <w:r w:rsidRPr="00B81A75">
        <w:rPr>
          <w:rFonts w:ascii="Times New Roman" w:hAnsi="Times New Roman" w:cs="Times New Roman"/>
          <w:b/>
          <w:sz w:val="24"/>
          <w:szCs w:val="24"/>
        </w:rPr>
        <w:t xml:space="preserve">Je k tomuto nutné mít technologické centrum? </w:t>
      </w:r>
    </w:p>
    <w:p w:rsidR="00B81A75" w:rsidRPr="00B81A75" w:rsidRDefault="00B81A75" w:rsidP="00B81A75">
      <w:pPr>
        <w:pStyle w:val="Odstavecseseznamem"/>
        <w:spacing w:before="120" w:after="120" w:line="240" w:lineRule="auto"/>
        <w:ind w:left="0"/>
        <w:jc w:val="both"/>
        <w:rPr>
          <w:rFonts w:ascii="Times New Roman" w:hAnsi="Times New Roman" w:cs="Times New Roman"/>
          <w:sz w:val="24"/>
          <w:szCs w:val="24"/>
        </w:rPr>
      </w:pPr>
      <w:r w:rsidRPr="00B81A75">
        <w:rPr>
          <w:rFonts w:ascii="Times New Roman" w:hAnsi="Times New Roman" w:cs="Times New Roman"/>
          <w:b/>
          <w:sz w:val="24"/>
          <w:szCs w:val="24"/>
        </w:rPr>
        <w:t>V této aktivitě se předpokládá zapojení krajem zřizovaných institucí (nemocnice, záchranky). Může být zapojena i Krajská nemocnice - akciová společnost (není příspěvkovou organizací, zakladatelem nemocnice je sice kraj, ale v současné době má v této obchodní společnosti</w:t>
      </w:r>
      <w:r>
        <w:rPr>
          <w:rFonts w:ascii="Times New Roman" w:hAnsi="Times New Roman" w:cs="Times New Roman"/>
          <w:b/>
          <w:sz w:val="24"/>
          <w:szCs w:val="24"/>
        </w:rPr>
        <w:t xml:space="preserve"> pouze podíl)? (</w:t>
      </w:r>
      <w:r>
        <w:rPr>
          <w:rFonts w:ascii="Times New Roman" w:hAnsi="Times New Roman" w:cs="Times New Roman"/>
          <w:sz w:val="24"/>
          <w:szCs w:val="24"/>
        </w:rPr>
        <w:t>21. 11. 2013)</w:t>
      </w:r>
    </w:p>
    <w:p w:rsidR="00B81A75" w:rsidRPr="00533C35" w:rsidRDefault="00B81A75" w:rsidP="00B81A75">
      <w:pPr>
        <w:pStyle w:val="Prosttext"/>
        <w:jc w:val="both"/>
        <w:rPr>
          <w:rFonts w:ascii="Times New Roman" w:eastAsia="Times New Roman" w:hAnsi="Times New Roman" w:cs="Times New Roman"/>
          <w:b/>
          <w:sz w:val="24"/>
          <w:szCs w:val="24"/>
          <w:u w:val="single"/>
        </w:rPr>
      </w:pPr>
      <w:r w:rsidRPr="00533C35">
        <w:rPr>
          <w:rFonts w:ascii="Times New Roman" w:eastAsia="Times New Roman" w:hAnsi="Times New Roman" w:cs="Times New Roman"/>
          <w:b/>
          <w:sz w:val="24"/>
          <w:szCs w:val="24"/>
          <w:u w:val="single"/>
        </w:rPr>
        <w:t>Odpověď</w:t>
      </w:r>
      <w:r w:rsidRPr="00533C35">
        <w:rPr>
          <w:rFonts w:ascii="Times New Roman" w:eastAsia="Times New Roman" w:hAnsi="Times New Roman" w:cs="Times New Roman"/>
          <w:b/>
          <w:sz w:val="24"/>
          <w:szCs w:val="24"/>
        </w:rPr>
        <w:t>:</w:t>
      </w:r>
    </w:p>
    <w:p w:rsidR="00B81A75" w:rsidRDefault="00B81A75"/>
    <w:p w:rsidR="00B81A75" w:rsidRPr="00B81A75" w:rsidRDefault="00B81A75" w:rsidP="00B81A75">
      <w:r w:rsidRPr="00B81A75">
        <w:t>Systém je možné nabídnout všem zdravotnickým zařízením za předpokladu rovného přístupu. Tedy možnost využívat systém pak dostanou všechna zdravotnická zařízení na území kraje. A za podmínky, že projekt nebude generovat příjmy.</w:t>
      </w:r>
    </w:p>
    <w:p w:rsidR="00B81A75" w:rsidRDefault="00B81A75" w:rsidP="00B81A75">
      <w:pPr>
        <w:rPr>
          <w:rFonts w:ascii="Arial" w:hAnsi="Arial" w:cs="Arial"/>
          <w:color w:val="1F497D"/>
          <w:sz w:val="20"/>
          <w:szCs w:val="20"/>
        </w:rPr>
      </w:pPr>
      <w:r>
        <w:rPr>
          <w:rFonts w:ascii="Arial" w:hAnsi="Arial" w:cs="Arial"/>
          <w:color w:val="1F497D"/>
          <w:sz w:val="20"/>
          <w:szCs w:val="20"/>
        </w:rPr>
        <w:t>----------------------------------------------------------------------------------------------------------------------------------------</w:t>
      </w:r>
    </w:p>
    <w:p w:rsidR="00772256" w:rsidRPr="00772256" w:rsidRDefault="00772256" w:rsidP="00772256">
      <w:pPr>
        <w:pStyle w:val="Odstavecseseznamem"/>
        <w:numPr>
          <w:ilvl w:val="0"/>
          <w:numId w:val="2"/>
        </w:numPr>
        <w:spacing w:after="0" w:line="240" w:lineRule="auto"/>
        <w:ind w:left="0" w:firstLine="0"/>
        <w:jc w:val="both"/>
        <w:rPr>
          <w:rFonts w:ascii="Times New Roman" w:hAnsi="Times New Roman" w:cs="Times New Roman"/>
          <w:b/>
          <w:sz w:val="24"/>
          <w:szCs w:val="24"/>
        </w:rPr>
      </w:pPr>
      <w:r w:rsidRPr="00772256">
        <w:rPr>
          <w:rFonts w:ascii="Times New Roman" w:hAnsi="Times New Roman" w:cs="Times New Roman"/>
          <w:b/>
          <w:sz w:val="24"/>
          <w:szCs w:val="24"/>
        </w:rPr>
        <w:lastRenderedPageBreak/>
        <w:t>Ve výzvě č. 19 jsou stanoveny maximální limity způsobilých výdajů pro jednotlivé podporované aktivity, dle našeho názoru jsou tyto limity uvažovány vč. kapitoly 5 rozpočtu projektu (limitované výdaje) a vč. stavebních prací. Prosíme o potvrzení, zda tomu tak opravdu je. V PPŽP je naopak uvedeno:</w:t>
      </w:r>
    </w:p>
    <w:p w:rsidR="00772256" w:rsidRDefault="00772256" w:rsidP="00772256">
      <w:pPr>
        <w:keepNext/>
        <w:autoSpaceDE w:val="0"/>
        <w:autoSpaceDN w:val="0"/>
        <w:rPr>
          <w:rFonts w:eastAsiaTheme="minorHAnsi"/>
          <w:b/>
        </w:rPr>
      </w:pPr>
    </w:p>
    <w:p w:rsidR="00772256" w:rsidRPr="00772256" w:rsidRDefault="00772256" w:rsidP="00772256">
      <w:pPr>
        <w:keepNext/>
        <w:autoSpaceDE w:val="0"/>
        <w:autoSpaceDN w:val="0"/>
        <w:rPr>
          <w:rFonts w:eastAsiaTheme="minorHAnsi"/>
          <w:b/>
        </w:rPr>
      </w:pPr>
      <w:r w:rsidRPr="00772256">
        <w:rPr>
          <w:rFonts w:eastAsiaTheme="minorHAnsi"/>
          <w:b/>
        </w:rPr>
        <w:t>Minimální a maximální velikost projektu a doba trvání:</w:t>
      </w:r>
    </w:p>
    <w:p w:rsidR="00772256" w:rsidRPr="00772256" w:rsidRDefault="00772256" w:rsidP="00772256">
      <w:pPr>
        <w:autoSpaceDE w:val="0"/>
        <w:autoSpaceDN w:val="0"/>
        <w:rPr>
          <w:rFonts w:eastAsiaTheme="minorHAnsi"/>
          <w:b/>
        </w:rPr>
      </w:pPr>
      <w:r w:rsidRPr="00772256">
        <w:rPr>
          <w:rFonts w:eastAsiaTheme="minorHAnsi"/>
          <w:b/>
        </w:rPr>
        <w:t xml:space="preserve">Minimální výše celkových způsobilých výdajů na jeden projekt není stanovena. </w:t>
      </w:r>
    </w:p>
    <w:p w:rsidR="00772256" w:rsidRPr="00772256" w:rsidRDefault="00772256" w:rsidP="00772256">
      <w:pPr>
        <w:autoSpaceDE w:val="0"/>
        <w:autoSpaceDN w:val="0"/>
        <w:rPr>
          <w:rFonts w:eastAsiaTheme="minorHAnsi"/>
          <w:b/>
        </w:rPr>
      </w:pPr>
      <w:r w:rsidRPr="00772256">
        <w:rPr>
          <w:rFonts w:eastAsiaTheme="minorHAnsi"/>
          <w:b/>
        </w:rPr>
        <w:t>Maximální přípustná výše celkových způsobilých výdajů na jeden projekt není stanovena.</w:t>
      </w:r>
    </w:p>
    <w:p w:rsidR="00772256" w:rsidRPr="00772256" w:rsidRDefault="00772256" w:rsidP="00772256">
      <w:pPr>
        <w:autoSpaceDE w:val="0"/>
        <w:autoSpaceDN w:val="0"/>
        <w:spacing w:after="240"/>
        <w:rPr>
          <w:rFonts w:eastAsiaTheme="minorHAnsi"/>
        </w:rPr>
      </w:pPr>
      <w:r w:rsidRPr="00772256">
        <w:rPr>
          <w:rFonts w:eastAsiaTheme="minorHAnsi"/>
          <w:b/>
        </w:rPr>
        <w:t>Maximální doba realizace projektu je 30. 6. 2015.</w:t>
      </w:r>
      <w:r>
        <w:rPr>
          <w:rFonts w:eastAsiaTheme="minorHAnsi"/>
          <w:b/>
        </w:rPr>
        <w:t xml:space="preserve"> </w:t>
      </w:r>
      <w:r>
        <w:rPr>
          <w:rFonts w:eastAsiaTheme="minorHAnsi"/>
        </w:rPr>
        <w:t>(22. 11. 2013)</w:t>
      </w:r>
    </w:p>
    <w:p w:rsidR="00772256" w:rsidRPr="00533C35" w:rsidRDefault="00772256" w:rsidP="00772256">
      <w:pPr>
        <w:pStyle w:val="Prosttext"/>
        <w:jc w:val="both"/>
        <w:rPr>
          <w:rFonts w:ascii="Times New Roman" w:eastAsia="Times New Roman" w:hAnsi="Times New Roman" w:cs="Times New Roman"/>
          <w:b/>
          <w:sz w:val="24"/>
          <w:szCs w:val="24"/>
          <w:u w:val="single"/>
        </w:rPr>
      </w:pPr>
      <w:r w:rsidRPr="00533C35">
        <w:rPr>
          <w:rFonts w:ascii="Times New Roman" w:eastAsia="Times New Roman" w:hAnsi="Times New Roman" w:cs="Times New Roman"/>
          <w:b/>
          <w:sz w:val="24"/>
          <w:szCs w:val="24"/>
          <w:u w:val="single"/>
        </w:rPr>
        <w:t>Odpověď</w:t>
      </w:r>
      <w:r w:rsidRPr="00533C35">
        <w:rPr>
          <w:rFonts w:ascii="Times New Roman" w:eastAsia="Times New Roman" w:hAnsi="Times New Roman" w:cs="Times New Roman"/>
          <w:b/>
          <w:sz w:val="24"/>
          <w:szCs w:val="24"/>
        </w:rPr>
        <w:t>:</w:t>
      </w:r>
    </w:p>
    <w:p w:rsidR="00B81A75" w:rsidRDefault="00B81A75"/>
    <w:p w:rsidR="00772256" w:rsidRPr="00772256" w:rsidRDefault="00772256" w:rsidP="00772256">
      <w:pPr>
        <w:pBdr>
          <w:bottom w:val="single" w:sz="6" w:space="1" w:color="auto"/>
        </w:pBdr>
      </w:pPr>
      <w:r w:rsidRPr="00772256">
        <w:t>V rámci projektu není stanoven celkový limit na výši projektu, ale jsou stanoveny limity pro jednotlivé aktivity projektu a jsou uved</w:t>
      </w:r>
      <w:r>
        <w:t>eny včetně limitovaných výdajů.</w:t>
      </w:r>
    </w:p>
    <w:p w:rsidR="00176952" w:rsidRDefault="00176952"/>
    <w:p w:rsidR="00176952" w:rsidRPr="00176952" w:rsidRDefault="00176952" w:rsidP="00176952">
      <w:pPr>
        <w:pStyle w:val="Odstavecseseznamem"/>
        <w:numPr>
          <w:ilvl w:val="0"/>
          <w:numId w:val="2"/>
        </w:numPr>
        <w:ind w:hanging="720"/>
        <w:jc w:val="both"/>
        <w:rPr>
          <w:rFonts w:ascii="Times New Roman" w:hAnsi="Times New Roman" w:cs="Times New Roman"/>
          <w:b/>
          <w:sz w:val="24"/>
          <w:szCs w:val="24"/>
        </w:rPr>
      </w:pPr>
      <w:r w:rsidRPr="00176952">
        <w:rPr>
          <w:rFonts w:ascii="Times New Roman" w:hAnsi="Times New Roman" w:cs="Times New Roman"/>
          <w:b/>
          <w:sz w:val="24"/>
          <w:szCs w:val="24"/>
        </w:rPr>
        <w:t>Jak se mají uplatnit náklady na publicitu v rámci projektu, kde je plánováno více aktivit?</w:t>
      </w:r>
      <w:r w:rsidR="002736AE">
        <w:rPr>
          <w:rFonts w:ascii="Times New Roman" w:hAnsi="Times New Roman" w:cs="Times New Roman"/>
          <w:b/>
          <w:sz w:val="24"/>
          <w:szCs w:val="24"/>
        </w:rPr>
        <w:t xml:space="preserve"> </w:t>
      </w:r>
      <w:r w:rsidR="002736AE" w:rsidRPr="002736AE">
        <w:rPr>
          <w:rFonts w:ascii="Times New Roman" w:hAnsi="Times New Roman" w:cs="Times New Roman"/>
          <w:sz w:val="24"/>
          <w:szCs w:val="24"/>
        </w:rPr>
        <w:t>(26. 11. 2013)</w:t>
      </w:r>
    </w:p>
    <w:p w:rsidR="00176952" w:rsidRPr="00533C35" w:rsidRDefault="00176952" w:rsidP="00176952">
      <w:pPr>
        <w:pStyle w:val="Prosttext"/>
        <w:jc w:val="both"/>
        <w:rPr>
          <w:rFonts w:ascii="Times New Roman" w:eastAsia="Times New Roman" w:hAnsi="Times New Roman" w:cs="Times New Roman"/>
          <w:b/>
          <w:sz w:val="24"/>
          <w:szCs w:val="24"/>
          <w:u w:val="single"/>
        </w:rPr>
      </w:pPr>
      <w:r w:rsidRPr="00533C35">
        <w:rPr>
          <w:rFonts w:ascii="Times New Roman" w:eastAsia="Times New Roman" w:hAnsi="Times New Roman" w:cs="Times New Roman"/>
          <w:b/>
          <w:sz w:val="24"/>
          <w:szCs w:val="24"/>
          <w:u w:val="single"/>
        </w:rPr>
        <w:t>Odpověď</w:t>
      </w:r>
      <w:r w:rsidRPr="00533C35">
        <w:rPr>
          <w:rFonts w:ascii="Times New Roman" w:eastAsia="Times New Roman" w:hAnsi="Times New Roman" w:cs="Times New Roman"/>
          <w:b/>
          <w:sz w:val="24"/>
          <w:szCs w:val="24"/>
        </w:rPr>
        <w:t>:</w:t>
      </w:r>
    </w:p>
    <w:p w:rsidR="00176952" w:rsidRDefault="00176952" w:rsidP="00176952">
      <w:pPr>
        <w:jc w:val="both"/>
      </w:pPr>
    </w:p>
    <w:p w:rsidR="00906C54" w:rsidRDefault="00906C54" w:rsidP="00906C54">
      <w:pPr>
        <w:jc w:val="both"/>
      </w:pPr>
      <w:r>
        <w:t xml:space="preserve">Pokud je v projektu plánováno více aktivit tak náklady na publicitu i ostatní společné výdaje (studie proveditelnosti, administrace žádosti atd.) mohou být uplatněny v rámci jedné z aktivit. Náklady na publicitu jsou dány na projekt, nikoliv na aktivitu. </w:t>
      </w:r>
      <w:r>
        <w:rPr>
          <w:b/>
          <w:bCs/>
        </w:rPr>
        <w:t>U ostatních společných výdajů je p</w:t>
      </w:r>
      <w:r>
        <w:t>odmínkou nepřesáhnutí 5% na projekt a samozřejmě nesmí se překročit max. výše stanovená ve výzvě na danou aktivitu. Pokud v dané aktivitě, kde jsou náklady za publicitu celého projektu, dojde k překročení max. výše stanovené ve výzvě, potom bude příjemce vyzván k přepracování rozpočtu s tím, že se některé náklady převedou na jinou aktivitu.</w:t>
      </w:r>
    </w:p>
    <w:p w:rsidR="00906C54" w:rsidRDefault="00906C54" w:rsidP="00906C54">
      <w:r w:rsidRPr="00906C54">
        <w:t>U publicity není limit stanoven.</w:t>
      </w:r>
      <w:bookmarkStart w:id="0" w:name="_GoBack"/>
      <w:bookmarkEnd w:id="0"/>
    </w:p>
    <w:p w:rsidR="00176952" w:rsidRDefault="00176952" w:rsidP="00176952">
      <w:r>
        <w:t>-----------------------------------------------------------------------------------------------------------------</w:t>
      </w:r>
    </w:p>
    <w:p w:rsidR="00176952" w:rsidRDefault="00176952" w:rsidP="00176952">
      <w:pPr>
        <w:pStyle w:val="Odstavecseseznamem"/>
        <w:numPr>
          <w:ilvl w:val="0"/>
          <w:numId w:val="2"/>
        </w:numPr>
        <w:ind w:hanging="720"/>
        <w:jc w:val="both"/>
      </w:pPr>
      <w:r w:rsidRPr="00176952">
        <w:rPr>
          <w:rFonts w:ascii="Times New Roman" w:hAnsi="Times New Roman" w:cs="Times New Roman"/>
          <w:b/>
          <w:sz w:val="24"/>
          <w:szCs w:val="24"/>
        </w:rPr>
        <w:t>Budou níže uvedené formy publicity podporovány?</w:t>
      </w:r>
      <w:r w:rsidR="002736AE">
        <w:rPr>
          <w:rFonts w:ascii="Times New Roman" w:hAnsi="Times New Roman" w:cs="Times New Roman"/>
          <w:b/>
          <w:sz w:val="24"/>
          <w:szCs w:val="24"/>
        </w:rPr>
        <w:t xml:space="preserve"> </w:t>
      </w:r>
      <w:r w:rsidR="002736AE">
        <w:rPr>
          <w:rFonts w:ascii="Times New Roman" w:hAnsi="Times New Roman" w:cs="Times New Roman"/>
          <w:sz w:val="24"/>
          <w:szCs w:val="24"/>
        </w:rPr>
        <w:t>(26. 11. 2013)</w:t>
      </w:r>
    </w:p>
    <w:p w:rsidR="00176952" w:rsidRPr="00533C35" w:rsidRDefault="00176952" w:rsidP="00176952">
      <w:pPr>
        <w:pStyle w:val="Prosttext"/>
        <w:jc w:val="both"/>
        <w:rPr>
          <w:rFonts w:ascii="Times New Roman" w:eastAsia="Times New Roman" w:hAnsi="Times New Roman" w:cs="Times New Roman"/>
          <w:b/>
          <w:sz w:val="24"/>
          <w:szCs w:val="24"/>
          <w:u w:val="single"/>
        </w:rPr>
      </w:pPr>
      <w:r w:rsidRPr="00533C35">
        <w:rPr>
          <w:rFonts w:ascii="Times New Roman" w:eastAsia="Times New Roman" w:hAnsi="Times New Roman" w:cs="Times New Roman"/>
          <w:b/>
          <w:sz w:val="24"/>
          <w:szCs w:val="24"/>
          <w:u w:val="single"/>
        </w:rPr>
        <w:t>Odpověď</w:t>
      </w:r>
      <w:r w:rsidRPr="00533C35">
        <w:rPr>
          <w:rFonts w:ascii="Times New Roman" w:eastAsia="Times New Roman" w:hAnsi="Times New Roman" w:cs="Times New Roman"/>
          <w:b/>
          <w:sz w:val="24"/>
          <w:szCs w:val="24"/>
        </w:rPr>
        <w:t>:</w:t>
      </w:r>
    </w:p>
    <w:p w:rsidR="00176952" w:rsidRDefault="00176952" w:rsidP="00176952">
      <w:pPr>
        <w:rPr>
          <w:color w:val="1F497D"/>
        </w:rPr>
      </w:pPr>
    </w:p>
    <w:p w:rsidR="003A7612" w:rsidRDefault="00176952" w:rsidP="003A7612">
      <w:pPr>
        <w:jc w:val="both"/>
      </w:pPr>
      <w:r>
        <w:t xml:space="preserve">Publikační brožury, které se rozešlou </w:t>
      </w:r>
      <w:r w:rsidR="003A7612">
        <w:t xml:space="preserve">např. </w:t>
      </w:r>
      <w:r>
        <w:t>do š</w:t>
      </w:r>
      <w:r w:rsidR="003A7612">
        <w:t>kol, knihoven a muzeí v regionu,</w:t>
      </w:r>
      <w:r>
        <w:t xml:space="preserve"> p</w:t>
      </w:r>
      <w:r w:rsidR="003A7612">
        <w:t>ortál</w:t>
      </w:r>
      <w:r>
        <w:t xml:space="preserve"> zpřístupnění digitálního obsahu, bude veřejnosti představovat možnosti portálu a dostupnosti digitalizovaných dat online</w:t>
      </w:r>
    </w:p>
    <w:p w:rsidR="00176952" w:rsidRDefault="00176952" w:rsidP="003A7612">
      <w:pPr>
        <w:jc w:val="both"/>
      </w:pPr>
      <w:r>
        <w:t xml:space="preserve"> </w:t>
      </w:r>
    </w:p>
    <w:p w:rsidR="00176952" w:rsidRPr="003A7612" w:rsidRDefault="00176952" w:rsidP="003A7612">
      <w:pPr>
        <w:jc w:val="both"/>
        <w:rPr>
          <w:b/>
        </w:rPr>
      </w:pPr>
      <w:r w:rsidRPr="003A7612">
        <w:rPr>
          <w:b/>
        </w:rPr>
        <w:t>Ano, ale pouze letáky, brožury, nikoliv kn</w:t>
      </w:r>
      <w:r w:rsidR="003A7612" w:rsidRPr="003A7612">
        <w:rPr>
          <w:b/>
        </w:rPr>
        <w:t xml:space="preserve">ihy v kožené vazbě (představa je </w:t>
      </w:r>
      <w:r w:rsidRPr="003A7612">
        <w:rPr>
          <w:b/>
        </w:rPr>
        <w:t>leták o 4-6 stranách připevněný uprostřed sponkou)</w:t>
      </w:r>
    </w:p>
    <w:p w:rsidR="003A7612" w:rsidRPr="003A7612" w:rsidRDefault="003A7612" w:rsidP="003A7612">
      <w:pPr>
        <w:jc w:val="both"/>
        <w:rPr>
          <w:color w:val="FF0000"/>
        </w:rPr>
      </w:pPr>
    </w:p>
    <w:p w:rsidR="00176952" w:rsidRDefault="00176952" w:rsidP="003A7612">
      <w:pPr>
        <w:jc w:val="both"/>
      </w:pPr>
      <w:r>
        <w:t>Drobné propagační předměty</w:t>
      </w:r>
    </w:p>
    <w:p w:rsidR="003A7612" w:rsidRDefault="003A7612" w:rsidP="003A7612">
      <w:pPr>
        <w:jc w:val="both"/>
      </w:pPr>
    </w:p>
    <w:p w:rsidR="00176952" w:rsidRDefault="003A7612" w:rsidP="003A7612">
      <w:pPr>
        <w:jc w:val="both"/>
        <w:rPr>
          <w:b/>
        </w:rPr>
      </w:pPr>
      <w:r>
        <w:rPr>
          <w:b/>
        </w:rPr>
        <w:t xml:space="preserve">Záleží, </w:t>
      </w:r>
      <w:r w:rsidR="00176952" w:rsidRPr="003A7612">
        <w:rPr>
          <w:b/>
        </w:rPr>
        <w:t>čeho by se drobné propa</w:t>
      </w:r>
      <w:r>
        <w:rPr>
          <w:b/>
        </w:rPr>
        <w:t xml:space="preserve">gační předměty konkrétně týkaly. Podporovány </w:t>
      </w:r>
      <w:r w:rsidR="00176952" w:rsidRPr="003A7612">
        <w:rPr>
          <w:b/>
        </w:rPr>
        <w:t xml:space="preserve">nebudou </w:t>
      </w:r>
      <w:r>
        <w:rPr>
          <w:b/>
        </w:rPr>
        <w:t>zejména</w:t>
      </w:r>
      <w:r w:rsidR="00176952" w:rsidRPr="003A7612">
        <w:rPr>
          <w:b/>
        </w:rPr>
        <w:t xml:space="preserve"> tužky, </w:t>
      </w:r>
      <w:proofErr w:type="spellStart"/>
      <w:r w:rsidR="00176952" w:rsidRPr="003A7612">
        <w:rPr>
          <w:b/>
        </w:rPr>
        <w:t>flash</w:t>
      </w:r>
      <w:proofErr w:type="spellEnd"/>
      <w:r w:rsidR="00176952" w:rsidRPr="003A7612">
        <w:rPr>
          <w:b/>
        </w:rPr>
        <w:t>,…pouze věci, které budou mít přímou vazbu na danou aktivitu - bezprostředně musí souviset s realizací projektu</w:t>
      </w:r>
    </w:p>
    <w:p w:rsidR="00212151" w:rsidRPr="00212151" w:rsidRDefault="00212151" w:rsidP="003A7612">
      <w:pPr>
        <w:jc w:val="both"/>
      </w:pPr>
    </w:p>
    <w:p w:rsidR="00212151" w:rsidRPr="00212151" w:rsidRDefault="00212151" w:rsidP="00212151">
      <w:r w:rsidRPr="00212151">
        <w:t>Uspořádání konference</w:t>
      </w:r>
    </w:p>
    <w:p w:rsidR="00212151" w:rsidRDefault="00212151" w:rsidP="00212151">
      <w:pPr>
        <w:rPr>
          <w:color w:val="1F497D"/>
        </w:rPr>
      </w:pPr>
    </w:p>
    <w:p w:rsidR="00212151" w:rsidRPr="00212151" w:rsidRDefault="00212151" w:rsidP="00212151">
      <w:pPr>
        <w:rPr>
          <w:b/>
        </w:rPr>
      </w:pPr>
      <w:r w:rsidRPr="00212151">
        <w:rPr>
          <w:b/>
        </w:rPr>
        <w:lastRenderedPageBreak/>
        <w:t>Ano</w:t>
      </w:r>
    </w:p>
    <w:p w:rsidR="00212151" w:rsidRDefault="00212151" w:rsidP="00212151">
      <w:pPr>
        <w:rPr>
          <w:color w:val="1F497D"/>
        </w:rPr>
      </w:pPr>
    </w:p>
    <w:p w:rsidR="00212151" w:rsidRPr="00212151" w:rsidRDefault="00212151" w:rsidP="00212151">
      <w:pPr>
        <w:jc w:val="both"/>
      </w:pPr>
      <w:r w:rsidRPr="00212151">
        <w:t>Schůzky s pracovníky příspěvkových organizací</w:t>
      </w:r>
    </w:p>
    <w:p w:rsidR="00212151" w:rsidRDefault="00212151" w:rsidP="00212151">
      <w:pPr>
        <w:rPr>
          <w:color w:val="1F497D"/>
        </w:rPr>
      </w:pPr>
    </w:p>
    <w:p w:rsidR="00212151" w:rsidRPr="00212151" w:rsidRDefault="00212151" w:rsidP="00212151">
      <w:pPr>
        <w:rPr>
          <w:b/>
        </w:rPr>
      </w:pPr>
      <w:r w:rsidRPr="00212151">
        <w:rPr>
          <w:b/>
        </w:rPr>
        <w:t>Ne</w:t>
      </w:r>
    </w:p>
    <w:p w:rsidR="00212151" w:rsidRDefault="00212151" w:rsidP="00212151">
      <w:pPr>
        <w:rPr>
          <w:color w:val="1F497D"/>
        </w:rPr>
      </w:pPr>
    </w:p>
    <w:p w:rsidR="00212151" w:rsidRPr="00212151" w:rsidRDefault="00212151" w:rsidP="00212151">
      <w:pPr>
        <w:jc w:val="both"/>
      </w:pPr>
      <w:r w:rsidRPr="00212151">
        <w:t>Setkání s ostatními kraji za účelem výměny zkušeností a předávání dobré praxe</w:t>
      </w:r>
    </w:p>
    <w:p w:rsidR="00212151" w:rsidRDefault="00212151" w:rsidP="00212151">
      <w:pPr>
        <w:rPr>
          <w:color w:val="1F497D"/>
        </w:rPr>
      </w:pPr>
    </w:p>
    <w:p w:rsidR="00212151" w:rsidRPr="00212151" w:rsidRDefault="00212151" w:rsidP="00212151">
      <w:pPr>
        <w:rPr>
          <w:b/>
        </w:rPr>
      </w:pPr>
      <w:r w:rsidRPr="00212151">
        <w:rPr>
          <w:b/>
        </w:rPr>
        <w:t>Ne</w:t>
      </w:r>
    </w:p>
    <w:p w:rsidR="00212151" w:rsidRDefault="00212151" w:rsidP="00212151">
      <w:pPr>
        <w:rPr>
          <w:color w:val="1F497D"/>
        </w:rPr>
      </w:pPr>
    </w:p>
    <w:p w:rsidR="00212151" w:rsidRPr="00212151" w:rsidRDefault="00212151" w:rsidP="00212151">
      <w:pPr>
        <w:jc w:val="both"/>
      </w:pPr>
      <w:r w:rsidRPr="00212151">
        <w:t xml:space="preserve">Tiskové zprávy, webové stránky </w:t>
      </w:r>
    </w:p>
    <w:p w:rsidR="00212151" w:rsidRDefault="00212151" w:rsidP="00212151">
      <w:pPr>
        <w:rPr>
          <w:color w:val="1F497D"/>
        </w:rPr>
      </w:pPr>
    </w:p>
    <w:p w:rsidR="00212151" w:rsidRPr="00212151" w:rsidRDefault="00212151" w:rsidP="00212151">
      <w:pPr>
        <w:rPr>
          <w:b/>
        </w:rPr>
      </w:pPr>
      <w:r w:rsidRPr="00212151">
        <w:rPr>
          <w:b/>
        </w:rPr>
        <w:t>Ano</w:t>
      </w:r>
    </w:p>
    <w:p w:rsidR="003A7612" w:rsidRPr="003A7612" w:rsidRDefault="003A7612" w:rsidP="003A7612">
      <w:pPr>
        <w:jc w:val="both"/>
        <w:rPr>
          <w:b/>
        </w:rPr>
      </w:pPr>
      <w:r>
        <w:rPr>
          <w:b/>
        </w:rPr>
        <w:t>-----------------------------------------------------------------------------------------------------------------</w:t>
      </w:r>
    </w:p>
    <w:p w:rsidR="00176952" w:rsidRDefault="00176952" w:rsidP="00176952">
      <w:pPr>
        <w:rPr>
          <w:color w:val="1F497D"/>
        </w:rPr>
      </w:pPr>
    </w:p>
    <w:p w:rsidR="00176952" w:rsidRPr="00804C71" w:rsidRDefault="00176952"/>
    <w:sectPr w:rsidR="00176952" w:rsidRPr="00804C71" w:rsidSect="00896A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27C36"/>
    <w:multiLevelType w:val="hybridMultilevel"/>
    <w:tmpl w:val="D53E497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E49154A"/>
    <w:multiLevelType w:val="hybridMultilevel"/>
    <w:tmpl w:val="C41ABB2C"/>
    <w:lvl w:ilvl="0" w:tplc="1B480336">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BC13F5D"/>
    <w:multiLevelType w:val="hybridMultilevel"/>
    <w:tmpl w:val="2BBAE4DA"/>
    <w:lvl w:ilvl="0" w:tplc="3B580F52">
      <w:start w:val="1"/>
      <w:numFmt w:val="decimal"/>
      <w:lvlText w:val="%1."/>
      <w:lvlJc w:val="left"/>
      <w:pPr>
        <w:ind w:left="720" w:hanging="360"/>
      </w:pPr>
      <w:rPr>
        <w:rFonts w:ascii="Times New Roman" w:hAnsi="Times New Roman" w:cs="Times New Roman"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DDD436C"/>
    <w:multiLevelType w:val="hybridMultilevel"/>
    <w:tmpl w:val="81540DA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35CB6601"/>
    <w:multiLevelType w:val="hybridMultilevel"/>
    <w:tmpl w:val="8DC4217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426E4785"/>
    <w:multiLevelType w:val="hybridMultilevel"/>
    <w:tmpl w:val="1EE497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86972CF"/>
    <w:multiLevelType w:val="hybridMultilevel"/>
    <w:tmpl w:val="ABF08BC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61570723"/>
    <w:multiLevelType w:val="hybridMultilevel"/>
    <w:tmpl w:val="C2D02E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1C047AE"/>
    <w:multiLevelType w:val="hybridMultilevel"/>
    <w:tmpl w:val="36222F0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62DC4E5E"/>
    <w:multiLevelType w:val="hybridMultilevel"/>
    <w:tmpl w:val="4742359C"/>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63EA45BA"/>
    <w:multiLevelType w:val="hybridMultilevel"/>
    <w:tmpl w:val="A4B2BC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32D686D"/>
    <w:multiLevelType w:val="hybridMultilevel"/>
    <w:tmpl w:val="9628E0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B832641"/>
    <w:multiLevelType w:val="hybridMultilevel"/>
    <w:tmpl w:val="44D060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10"/>
  </w:num>
  <w:num w:numId="10">
    <w:abstractNumId w:val="12"/>
  </w:num>
  <w:num w:numId="11">
    <w:abstractNumId w:val="11"/>
  </w:num>
  <w:num w:numId="12">
    <w:abstractNumId w:val="5"/>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DFF"/>
    <w:rsid w:val="000C45E9"/>
    <w:rsid w:val="00176952"/>
    <w:rsid w:val="00212151"/>
    <w:rsid w:val="002736AE"/>
    <w:rsid w:val="003A7612"/>
    <w:rsid w:val="00491E8D"/>
    <w:rsid w:val="004C2DCA"/>
    <w:rsid w:val="00533C35"/>
    <w:rsid w:val="00616282"/>
    <w:rsid w:val="006420D4"/>
    <w:rsid w:val="006523DE"/>
    <w:rsid w:val="007051EE"/>
    <w:rsid w:val="00760B9A"/>
    <w:rsid w:val="007705F2"/>
    <w:rsid w:val="00772256"/>
    <w:rsid w:val="00804C71"/>
    <w:rsid w:val="00896AFB"/>
    <w:rsid w:val="008B4A16"/>
    <w:rsid w:val="008D3A82"/>
    <w:rsid w:val="0090340C"/>
    <w:rsid w:val="00906C54"/>
    <w:rsid w:val="00954149"/>
    <w:rsid w:val="00B72889"/>
    <w:rsid w:val="00B81A75"/>
    <w:rsid w:val="00C30EE6"/>
    <w:rsid w:val="00C94DFF"/>
    <w:rsid w:val="00D3624B"/>
    <w:rsid w:val="00D5133B"/>
    <w:rsid w:val="00D53A78"/>
    <w:rsid w:val="00ED3BFC"/>
    <w:rsid w:val="00F32A36"/>
    <w:rsid w:val="00F86F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4DF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
    <w:name w:val="Char Char"/>
    <w:basedOn w:val="Normln"/>
    <w:rsid w:val="00C94DFF"/>
    <w:pPr>
      <w:spacing w:after="160" w:line="240" w:lineRule="exact"/>
    </w:pPr>
    <w:rPr>
      <w:rFonts w:ascii="Tahoma" w:hAnsi="Tahoma"/>
      <w:sz w:val="20"/>
      <w:szCs w:val="20"/>
      <w:lang w:val="en-US" w:eastAsia="en-US"/>
    </w:rPr>
  </w:style>
  <w:style w:type="character" w:styleId="Odkaznakoment">
    <w:name w:val="annotation reference"/>
    <w:basedOn w:val="Standardnpsmoodstavce"/>
    <w:uiPriority w:val="99"/>
    <w:semiHidden/>
    <w:unhideWhenUsed/>
    <w:rsid w:val="00ED3BFC"/>
    <w:rPr>
      <w:sz w:val="16"/>
      <w:szCs w:val="16"/>
    </w:rPr>
  </w:style>
  <w:style w:type="paragraph" w:styleId="Textkomente">
    <w:name w:val="annotation text"/>
    <w:basedOn w:val="Normln"/>
    <w:link w:val="TextkomenteChar"/>
    <w:uiPriority w:val="99"/>
    <w:semiHidden/>
    <w:unhideWhenUsed/>
    <w:rsid w:val="00ED3BFC"/>
    <w:rPr>
      <w:sz w:val="20"/>
      <w:szCs w:val="20"/>
    </w:rPr>
  </w:style>
  <w:style w:type="character" w:customStyle="1" w:styleId="TextkomenteChar">
    <w:name w:val="Text komentáře Char"/>
    <w:basedOn w:val="Standardnpsmoodstavce"/>
    <w:link w:val="Textkomente"/>
    <w:uiPriority w:val="99"/>
    <w:semiHidden/>
    <w:rsid w:val="00ED3BF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D3BFC"/>
    <w:rPr>
      <w:b/>
      <w:bCs/>
    </w:rPr>
  </w:style>
  <w:style w:type="character" w:customStyle="1" w:styleId="PedmtkomenteChar">
    <w:name w:val="Předmět komentáře Char"/>
    <w:basedOn w:val="TextkomenteChar"/>
    <w:link w:val="Pedmtkomente"/>
    <w:uiPriority w:val="99"/>
    <w:semiHidden/>
    <w:rsid w:val="00ED3BFC"/>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D3BFC"/>
    <w:rPr>
      <w:rFonts w:ascii="Tahoma" w:hAnsi="Tahoma" w:cs="Tahoma"/>
      <w:sz w:val="16"/>
      <w:szCs w:val="16"/>
    </w:rPr>
  </w:style>
  <w:style w:type="character" w:customStyle="1" w:styleId="TextbublinyChar">
    <w:name w:val="Text bubliny Char"/>
    <w:basedOn w:val="Standardnpsmoodstavce"/>
    <w:link w:val="Textbubliny"/>
    <w:uiPriority w:val="99"/>
    <w:semiHidden/>
    <w:rsid w:val="00ED3BFC"/>
    <w:rPr>
      <w:rFonts w:ascii="Tahoma" w:eastAsia="Times New Roman" w:hAnsi="Tahoma" w:cs="Tahoma"/>
      <w:sz w:val="16"/>
      <w:szCs w:val="16"/>
      <w:lang w:eastAsia="cs-CZ"/>
    </w:rPr>
  </w:style>
  <w:style w:type="paragraph" w:styleId="Normlnweb">
    <w:name w:val="Normal (Web)"/>
    <w:basedOn w:val="Normln"/>
    <w:uiPriority w:val="99"/>
    <w:unhideWhenUsed/>
    <w:rsid w:val="000C45E9"/>
    <w:pPr>
      <w:spacing w:before="120" w:after="120"/>
    </w:pPr>
    <w:rPr>
      <w:rFonts w:eastAsiaTheme="minorHAnsi"/>
    </w:rPr>
  </w:style>
  <w:style w:type="paragraph" w:customStyle="1" w:styleId="CharChar0">
    <w:name w:val="Char Char"/>
    <w:basedOn w:val="Normln"/>
    <w:rsid w:val="00D5133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semiHidden/>
    <w:unhideWhenUsed/>
    <w:rsid w:val="00533C35"/>
    <w:rPr>
      <w:rFonts w:ascii="Calibri" w:eastAsiaTheme="minorHAnsi" w:hAnsi="Calibri" w:cs="Calibri"/>
      <w:sz w:val="22"/>
      <w:szCs w:val="22"/>
    </w:rPr>
  </w:style>
  <w:style w:type="character" w:customStyle="1" w:styleId="ProsttextChar">
    <w:name w:val="Prostý text Char"/>
    <w:basedOn w:val="Standardnpsmoodstavce"/>
    <w:link w:val="Prosttext"/>
    <w:uiPriority w:val="99"/>
    <w:semiHidden/>
    <w:rsid w:val="00533C35"/>
    <w:rPr>
      <w:rFonts w:ascii="Calibri" w:hAnsi="Calibri" w:cs="Calibri"/>
      <w:lang w:eastAsia="cs-CZ"/>
    </w:rPr>
  </w:style>
  <w:style w:type="paragraph" w:styleId="Odstavecseseznamem">
    <w:name w:val="List Paragraph"/>
    <w:basedOn w:val="Normln"/>
    <w:uiPriority w:val="34"/>
    <w:qFormat/>
    <w:rsid w:val="00533C35"/>
    <w:pPr>
      <w:spacing w:after="200" w:line="276" w:lineRule="auto"/>
      <w:ind w:left="720"/>
    </w:pPr>
    <w:rPr>
      <w:rFonts w:ascii="Arial" w:eastAsiaTheme="minorHAns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4DF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
    <w:name w:val="Char Char"/>
    <w:basedOn w:val="Normln"/>
    <w:rsid w:val="00C94DFF"/>
    <w:pPr>
      <w:spacing w:after="160" w:line="240" w:lineRule="exact"/>
    </w:pPr>
    <w:rPr>
      <w:rFonts w:ascii="Tahoma" w:hAnsi="Tahoma"/>
      <w:sz w:val="20"/>
      <w:szCs w:val="20"/>
      <w:lang w:val="en-US" w:eastAsia="en-US"/>
    </w:rPr>
  </w:style>
  <w:style w:type="character" w:styleId="Odkaznakoment">
    <w:name w:val="annotation reference"/>
    <w:basedOn w:val="Standardnpsmoodstavce"/>
    <w:uiPriority w:val="99"/>
    <w:semiHidden/>
    <w:unhideWhenUsed/>
    <w:rsid w:val="00ED3BFC"/>
    <w:rPr>
      <w:sz w:val="16"/>
      <w:szCs w:val="16"/>
    </w:rPr>
  </w:style>
  <w:style w:type="paragraph" w:styleId="Textkomente">
    <w:name w:val="annotation text"/>
    <w:basedOn w:val="Normln"/>
    <w:link w:val="TextkomenteChar"/>
    <w:uiPriority w:val="99"/>
    <w:semiHidden/>
    <w:unhideWhenUsed/>
    <w:rsid w:val="00ED3BFC"/>
    <w:rPr>
      <w:sz w:val="20"/>
      <w:szCs w:val="20"/>
    </w:rPr>
  </w:style>
  <w:style w:type="character" w:customStyle="1" w:styleId="TextkomenteChar">
    <w:name w:val="Text komentáře Char"/>
    <w:basedOn w:val="Standardnpsmoodstavce"/>
    <w:link w:val="Textkomente"/>
    <w:uiPriority w:val="99"/>
    <w:semiHidden/>
    <w:rsid w:val="00ED3BF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D3BFC"/>
    <w:rPr>
      <w:b/>
      <w:bCs/>
    </w:rPr>
  </w:style>
  <w:style w:type="character" w:customStyle="1" w:styleId="PedmtkomenteChar">
    <w:name w:val="Předmět komentáře Char"/>
    <w:basedOn w:val="TextkomenteChar"/>
    <w:link w:val="Pedmtkomente"/>
    <w:uiPriority w:val="99"/>
    <w:semiHidden/>
    <w:rsid w:val="00ED3BFC"/>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D3BFC"/>
    <w:rPr>
      <w:rFonts w:ascii="Tahoma" w:hAnsi="Tahoma" w:cs="Tahoma"/>
      <w:sz w:val="16"/>
      <w:szCs w:val="16"/>
    </w:rPr>
  </w:style>
  <w:style w:type="character" w:customStyle="1" w:styleId="TextbublinyChar">
    <w:name w:val="Text bubliny Char"/>
    <w:basedOn w:val="Standardnpsmoodstavce"/>
    <w:link w:val="Textbubliny"/>
    <w:uiPriority w:val="99"/>
    <w:semiHidden/>
    <w:rsid w:val="00ED3BFC"/>
    <w:rPr>
      <w:rFonts w:ascii="Tahoma" w:eastAsia="Times New Roman" w:hAnsi="Tahoma" w:cs="Tahoma"/>
      <w:sz w:val="16"/>
      <w:szCs w:val="16"/>
      <w:lang w:eastAsia="cs-CZ"/>
    </w:rPr>
  </w:style>
  <w:style w:type="paragraph" w:styleId="Normlnweb">
    <w:name w:val="Normal (Web)"/>
    <w:basedOn w:val="Normln"/>
    <w:uiPriority w:val="99"/>
    <w:unhideWhenUsed/>
    <w:rsid w:val="000C45E9"/>
    <w:pPr>
      <w:spacing w:before="120" w:after="120"/>
    </w:pPr>
    <w:rPr>
      <w:rFonts w:eastAsiaTheme="minorHAnsi"/>
    </w:rPr>
  </w:style>
  <w:style w:type="paragraph" w:customStyle="1" w:styleId="CharChar0">
    <w:name w:val="Char Char"/>
    <w:basedOn w:val="Normln"/>
    <w:rsid w:val="00D5133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semiHidden/>
    <w:unhideWhenUsed/>
    <w:rsid w:val="00533C35"/>
    <w:rPr>
      <w:rFonts w:ascii="Calibri" w:eastAsiaTheme="minorHAnsi" w:hAnsi="Calibri" w:cs="Calibri"/>
      <w:sz w:val="22"/>
      <w:szCs w:val="22"/>
    </w:rPr>
  </w:style>
  <w:style w:type="character" w:customStyle="1" w:styleId="ProsttextChar">
    <w:name w:val="Prostý text Char"/>
    <w:basedOn w:val="Standardnpsmoodstavce"/>
    <w:link w:val="Prosttext"/>
    <w:uiPriority w:val="99"/>
    <w:semiHidden/>
    <w:rsid w:val="00533C35"/>
    <w:rPr>
      <w:rFonts w:ascii="Calibri" w:hAnsi="Calibri" w:cs="Calibri"/>
      <w:lang w:eastAsia="cs-CZ"/>
    </w:rPr>
  </w:style>
  <w:style w:type="paragraph" w:styleId="Odstavecseseznamem">
    <w:name w:val="List Paragraph"/>
    <w:basedOn w:val="Normln"/>
    <w:uiPriority w:val="34"/>
    <w:qFormat/>
    <w:rsid w:val="00533C35"/>
    <w:pPr>
      <w:spacing w:after="200" w:line="276" w:lineRule="auto"/>
      <w:ind w:left="720"/>
    </w:pPr>
    <w:rPr>
      <w:rFonts w:ascii="Arial" w:eastAsiaTheme="minorHAns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1080">
      <w:bodyDiv w:val="1"/>
      <w:marLeft w:val="0"/>
      <w:marRight w:val="0"/>
      <w:marTop w:val="0"/>
      <w:marBottom w:val="0"/>
      <w:divBdr>
        <w:top w:val="none" w:sz="0" w:space="0" w:color="auto"/>
        <w:left w:val="none" w:sz="0" w:space="0" w:color="auto"/>
        <w:bottom w:val="none" w:sz="0" w:space="0" w:color="auto"/>
        <w:right w:val="none" w:sz="0" w:space="0" w:color="auto"/>
      </w:divBdr>
    </w:div>
    <w:div w:id="47653618">
      <w:bodyDiv w:val="1"/>
      <w:marLeft w:val="0"/>
      <w:marRight w:val="0"/>
      <w:marTop w:val="0"/>
      <w:marBottom w:val="0"/>
      <w:divBdr>
        <w:top w:val="none" w:sz="0" w:space="0" w:color="auto"/>
        <w:left w:val="none" w:sz="0" w:space="0" w:color="auto"/>
        <w:bottom w:val="none" w:sz="0" w:space="0" w:color="auto"/>
        <w:right w:val="none" w:sz="0" w:space="0" w:color="auto"/>
      </w:divBdr>
    </w:div>
    <w:div w:id="118956315">
      <w:bodyDiv w:val="1"/>
      <w:marLeft w:val="0"/>
      <w:marRight w:val="0"/>
      <w:marTop w:val="0"/>
      <w:marBottom w:val="0"/>
      <w:divBdr>
        <w:top w:val="none" w:sz="0" w:space="0" w:color="auto"/>
        <w:left w:val="none" w:sz="0" w:space="0" w:color="auto"/>
        <w:bottom w:val="none" w:sz="0" w:space="0" w:color="auto"/>
        <w:right w:val="none" w:sz="0" w:space="0" w:color="auto"/>
      </w:divBdr>
    </w:div>
    <w:div w:id="272633723">
      <w:bodyDiv w:val="1"/>
      <w:marLeft w:val="0"/>
      <w:marRight w:val="0"/>
      <w:marTop w:val="0"/>
      <w:marBottom w:val="0"/>
      <w:divBdr>
        <w:top w:val="none" w:sz="0" w:space="0" w:color="auto"/>
        <w:left w:val="none" w:sz="0" w:space="0" w:color="auto"/>
        <w:bottom w:val="none" w:sz="0" w:space="0" w:color="auto"/>
        <w:right w:val="none" w:sz="0" w:space="0" w:color="auto"/>
      </w:divBdr>
    </w:div>
    <w:div w:id="359550762">
      <w:bodyDiv w:val="1"/>
      <w:marLeft w:val="0"/>
      <w:marRight w:val="0"/>
      <w:marTop w:val="0"/>
      <w:marBottom w:val="0"/>
      <w:divBdr>
        <w:top w:val="none" w:sz="0" w:space="0" w:color="auto"/>
        <w:left w:val="none" w:sz="0" w:space="0" w:color="auto"/>
        <w:bottom w:val="none" w:sz="0" w:space="0" w:color="auto"/>
        <w:right w:val="none" w:sz="0" w:space="0" w:color="auto"/>
      </w:divBdr>
    </w:div>
    <w:div w:id="721829791">
      <w:bodyDiv w:val="1"/>
      <w:marLeft w:val="0"/>
      <w:marRight w:val="0"/>
      <w:marTop w:val="0"/>
      <w:marBottom w:val="0"/>
      <w:divBdr>
        <w:top w:val="none" w:sz="0" w:space="0" w:color="auto"/>
        <w:left w:val="none" w:sz="0" w:space="0" w:color="auto"/>
        <w:bottom w:val="none" w:sz="0" w:space="0" w:color="auto"/>
        <w:right w:val="none" w:sz="0" w:space="0" w:color="auto"/>
      </w:divBdr>
    </w:div>
    <w:div w:id="752432273">
      <w:bodyDiv w:val="1"/>
      <w:marLeft w:val="0"/>
      <w:marRight w:val="0"/>
      <w:marTop w:val="0"/>
      <w:marBottom w:val="0"/>
      <w:divBdr>
        <w:top w:val="none" w:sz="0" w:space="0" w:color="auto"/>
        <w:left w:val="none" w:sz="0" w:space="0" w:color="auto"/>
        <w:bottom w:val="none" w:sz="0" w:space="0" w:color="auto"/>
        <w:right w:val="none" w:sz="0" w:space="0" w:color="auto"/>
      </w:divBdr>
    </w:div>
    <w:div w:id="859047308">
      <w:bodyDiv w:val="1"/>
      <w:marLeft w:val="0"/>
      <w:marRight w:val="0"/>
      <w:marTop w:val="0"/>
      <w:marBottom w:val="0"/>
      <w:divBdr>
        <w:top w:val="none" w:sz="0" w:space="0" w:color="auto"/>
        <w:left w:val="none" w:sz="0" w:space="0" w:color="auto"/>
        <w:bottom w:val="none" w:sz="0" w:space="0" w:color="auto"/>
        <w:right w:val="none" w:sz="0" w:space="0" w:color="auto"/>
      </w:divBdr>
    </w:div>
    <w:div w:id="878278617">
      <w:bodyDiv w:val="1"/>
      <w:marLeft w:val="0"/>
      <w:marRight w:val="0"/>
      <w:marTop w:val="0"/>
      <w:marBottom w:val="0"/>
      <w:divBdr>
        <w:top w:val="none" w:sz="0" w:space="0" w:color="auto"/>
        <w:left w:val="none" w:sz="0" w:space="0" w:color="auto"/>
        <w:bottom w:val="none" w:sz="0" w:space="0" w:color="auto"/>
        <w:right w:val="none" w:sz="0" w:space="0" w:color="auto"/>
      </w:divBdr>
    </w:div>
    <w:div w:id="1000082328">
      <w:bodyDiv w:val="1"/>
      <w:marLeft w:val="0"/>
      <w:marRight w:val="0"/>
      <w:marTop w:val="0"/>
      <w:marBottom w:val="0"/>
      <w:divBdr>
        <w:top w:val="none" w:sz="0" w:space="0" w:color="auto"/>
        <w:left w:val="none" w:sz="0" w:space="0" w:color="auto"/>
        <w:bottom w:val="none" w:sz="0" w:space="0" w:color="auto"/>
        <w:right w:val="none" w:sz="0" w:space="0" w:color="auto"/>
      </w:divBdr>
    </w:div>
    <w:div w:id="1046569496">
      <w:bodyDiv w:val="1"/>
      <w:marLeft w:val="0"/>
      <w:marRight w:val="0"/>
      <w:marTop w:val="0"/>
      <w:marBottom w:val="0"/>
      <w:divBdr>
        <w:top w:val="none" w:sz="0" w:space="0" w:color="auto"/>
        <w:left w:val="none" w:sz="0" w:space="0" w:color="auto"/>
        <w:bottom w:val="none" w:sz="0" w:space="0" w:color="auto"/>
        <w:right w:val="none" w:sz="0" w:space="0" w:color="auto"/>
      </w:divBdr>
    </w:div>
    <w:div w:id="1097600352">
      <w:bodyDiv w:val="1"/>
      <w:marLeft w:val="0"/>
      <w:marRight w:val="0"/>
      <w:marTop w:val="0"/>
      <w:marBottom w:val="0"/>
      <w:divBdr>
        <w:top w:val="none" w:sz="0" w:space="0" w:color="auto"/>
        <w:left w:val="none" w:sz="0" w:space="0" w:color="auto"/>
        <w:bottom w:val="none" w:sz="0" w:space="0" w:color="auto"/>
        <w:right w:val="none" w:sz="0" w:space="0" w:color="auto"/>
      </w:divBdr>
    </w:div>
    <w:div w:id="1142115059">
      <w:bodyDiv w:val="1"/>
      <w:marLeft w:val="0"/>
      <w:marRight w:val="0"/>
      <w:marTop w:val="0"/>
      <w:marBottom w:val="0"/>
      <w:divBdr>
        <w:top w:val="none" w:sz="0" w:space="0" w:color="auto"/>
        <w:left w:val="none" w:sz="0" w:space="0" w:color="auto"/>
        <w:bottom w:val="none" w:sz="0" w:space="0" w:color="auto"/>
        <w:right w:val="none" w:sz="0" w:space="0" w:color="auto"/>
      </w:divBdr>
    </w:div>
    <w:div w:id="1220553927">
      <w:bodyDiv w:val="1"/>
      <w:marLeft w:val="0"/>
      <w:marRight w:val="0"/>
      <w:marTop w:val="0"/>
      <w:marBottom w:val="0"/>
      <w:divBdr>
        <w:top w:val="none" w:sz="0" w:space="0" w:color="auto"/>
        <w:left w:val="none" w:sz="0" w:space="0" w:color="auto"/>
        <w:bottom w:val="none" w:sz="0" w:space="0" w:color="auto"/>
        <w:right w:val="none" w:sz="0" w:space="0" w:color="auto"/>
      </w:divBdr>
    </w:div>
    <w:div w:id="1332871835">
      <w:bodyDiv w:val="1"/>
      <w:marLeft w:val="0"/>
      <w:marRight w:val="0"/>
      <w:marTop w:val="0"/>
      <w:marBottom w:val="0"/>
      <w:divBdr>
        <w:top w:val="none" w:sz="0" w:space="0" w:color="auto"/>
        <w:left w:val="none" w:sz="0" w:space="0" w:color="auto"/>
        <w:bottom w:val="none" w:sz="0" w:space="0" w:color="auto"/>
        <w:right w:val="none" w:sz="0" w:space="0" w:color="auto"/>
      </w:divBdr>
    </w:div>
    <w:div w:id="1430159083">
      <w:bodyDiv w:val="1"/>
      <w:marLeft w:val="0"/>
      <w:marRight w:val="0"/>
      <w:marTop w:val="0"/>
      <w:marBottom w:val="0"/>
      <w:divBdr>
        <w:top w:val="none" w:sz="0" w:space="0" w:color="auto"/>
        <w:left w:val="none" w:sz="0" w:space="0" w:color="auto"/>
        <w:bottom w:val="none" w:sz="0" w:space="0" w:color="auto"/>
        <w:right w:val="none" w:sz="0" w:space="0" w:color="auto"/>
      </w:divBdr>
    </w:div>
    <w:div w:id="1447849408">
      <w:bodyDiv w:val="1"/>
      <w:marLeft w:val="0"/>
      <w:marRight w:val="0"/>
      <w:marTop w:val="0"/>
      <w:marBottom w:val="0"/>
      <w:divBdr>
        <w:top w:val="none" w:sz="0" w:space="0" w:color="auto"/>
        <w:left w:val="none" w:sz="0" w:space="0" w:color="auto"/>
        <w:bottom w:val="none" w:sz="0" w:space="0" w:color="auto"/>
        <w:right w:val="none" w:sz="0" w:space="0" w:color="auto"/>
      </w:divBdr>
    </w:div>
    <w:div w:id="1640257749">
      <w:bodyDiv w:val="1"/>
      <w:marLeft w:val="0"/>
      <w:marRight w:val="0"/>
      <w:marTop w:val="0"/>
      <w:marBottom w:val="0"/>
      <w:divBdr>
        <w:top w:val="none" w:sz="0" w:space="0" w:color="auto"/>
        <w:left w:val="none" w:sz="0" w:space="0" w:color="auto"/>
        <w:bottom w:val="none" w:sz="0" w:space="0" w:color="auto"/>
        <w:right w:val="none" w:sz="0" w:space="0" w:color="auto"/>
      </w:divBdr>
    </w:div>
    <w:div w:id="1824809454">
      <w:bodyDiv w:val="1"/>
      <w:marLeft w:val="0"/>
      <w:marRight w:val="0"/>
      <w:marTop w:val="0"/>
      <w:marBottom w:val="0"/>
      <w:divBdr>
        <w:top w:val="none" w:sz="0" w:space="0" w:color="auto"/>
        <w:left w:val="none" w:sz="0" w:space="0" w:color="auto"/>
        <w:bottom w:val="none" w:sz="0" w:space="0" w:color="auto"/>
        <w:right w:val="none" w:sz="0" w:space="0" w:color="auto"/>
      </w:divBdr>
    </w:div>
    <w:div w:id="201268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3004</Words>
  <Characters>17724</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Svoboda Lubomír</dc:creator>
  <cp:lastModifiedBy>Svoboda Lubomír</cp:lastModifiedBy>
  <cp:revision>13</cp:revision>
  <dcterms:created xsi:type="dcterms:W3CDTF">2013-11-04T14:47:00Z</dcterms:created>
  <dcterms:modified xsi:type="dcterms:W3CDTF">2013-12-13T09:07:00Z</dcterms:modified>
</cp:coreProperties>
</file>