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B1A38" w14:textId="52A93148" w:rsidR="00500D7D" w:rsidRPr="00251BA8" w:rsidRDefault="002823D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2E97C7" wp14:editId="1E268722">
            <wp:simplePos x="0" y="0"/>
            <wp:positionH relativeFrom="margin">
              <wp:posOffset>4829175</wp:posOffset>
            </wp:positionH>
            <wp:positionV relativeFrom="margin">
              <wp:posOffset>-734695</wp:posOffset>
            </wp:positionV>
            <wp:extent cx="756920" cy="69977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25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A76B165" wp14:editId="50B186E2">
            <wp:simplePos x="0" y="0"/>
            <wp:positionH relativeFrom="margin">
              <wp:posOffset>5348916</wp:posOffset>
            </wp:positionH>
            <wp:positionV relativeFrom="margin">
              <wp:posOffset>-793115</wp:posOffset>
            </wp:positionV>
            <wp:extent cx="1348740" cy="758190"/>
            <wp:effectExtent l="0" t="0" r="381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D7D" w:rsidRPr="00251BA8">
        <w:rPr>
          <w:b/>
          <w:bCs/>
        </w:rPr>
        <w:t>Podporujme zdraví na pracovišti komplexně – nejen kosti a svaly, ale i duševní rozpoložení</w:t>
      </w:r>
    </w:p>
    <w:p w14:paraId="0DF275AC" w14:textId="77777777" w:rsidR="00500D7D" w:rsidRDefault="00500D7D"/>
    <w:p w14:paraId="21894139" w14:textId="34744A7E" w:rsidR="003325DF" w:rsidRDefault="00276F94">
      <w:r>
        <w:t xml:space="preserve">Evropská agentura </w:t>
      </w:r>
      <w:r w:rsidR="00500D7D">
        <w:t>pro bezpečnost a ochranu</w:t>
      </w:r>
      <w:r>
        <w:t xml:space="preserve"> zdraví při </w:t>
      </w:r>
      <w:proofErr w:type="gramStart"/>
      <w:r>
        <w:t>práci</w:t>
      </w:r>
      <w:r w:rsidR="00C56479">
        <w:t xml:space="preserve"> - EU</w:t>
      </w:r>
      <w:proofErr w:type="gramEnd"/>
      <w:r w:rsidR="00C56479">
        <w:t xml:space="preserve"> OSHA - </w:t>
      </w:r>
      <w:r>
        <w:t xml:space="preserve">se v rámci své kampaně </w:t>
      </w:r>
      <w:r w:rsidRPr="00500D7D">
        <w:rPr>
          <w:i/>
          <w:iCs/>
        </w:rPr>
        <w:t>Zdrav</w:t>
      </w:r>
      <w:r w:rsidR="00C44E48">
        <w:rPr>
          <w:i/>
          <w:iCs/>
        </w:rPr>
        <w:t>é</w:t>
      </w:r>
      <w:r w:rsidRPr="00500D7D">
        <w:rPr>
          <w:i/>
          <w:iCs/>
        </w:rPr>
        <w:t xml:space="preserve"> pracoviště </w:t>
      </w:r>
      <w:r w:rsidR="00C44E48">
        <w:rPr>
          <w:i/>
          <w:iCs/>
        </w:rPr>
        <w:t xml:space="preserve">si posvítí na fyzickou </w:t>
      </w:r>
      <w:r w:rsidRPr="00500D7D">
        <w:rPr>
          <w:i/>
          <w:iCs/>
        </w:rPr>
        <w:t>zátěž</w:t>
      </w:r>
      <w:r>
        <w:t xml:space="preserve"> věnuje intenzívně</w:t>
      </w:r>
      <w:r w:rsidR="00C56479">
        <w:t xml:space="preserve"> od roku 2020</w:t>
      </w:r>
      <w:r>
        <w:t xml:space="preserve"> všem vlivům, které mohou zhoršovat zdraví pracovníků. </w:t>
      </w:r>
      <w:r w:rsidR="00C56479">
        <w:t>V souvislosti s </w:t>
      </w:r>
      <w:proofErr w:type="spellStart"/>
      <w:r w:rsidR="00C56479">
        <w:t>covidem</w:t>
      </w:r>
      <w:proofErr w:type="spellEnd"/>
      <w:r w:rsidR="00C56479">
        <w:t xml:space="preserve">, prací z domova a nedostatečným pohybem v uplynulých téměř třech letech se mohly u pracovníků vašich firem objevit jak muskuloskeletální, tak </w:t>
      </w:r>
      <w:r w:rsidR="00500D7D">
        <w:t xml:space="preserve">i </w:t>
      </w:r>
      <w:r w:rsidR="00C56479">
        <w:t>psychos</w:t>
      </w:r>
      <w:r w:rsidR="00500D7D">
        <w:t>oc</w:t>
      </w:r>
      <w:r w:rsidR="00C56479">
        <w:t xml:space="preserve">iální poruchy. Jak na ně? Jak je zvládnout? </w:t>
      </w:r>
    </w:p>
    <w:p w14:paraId="50E637C3" w14:textId="1627A811" w:rsidR="00276F94" w:rsidRDefault="00276F94">
      <w:r>
        <w:t>V článku v posledním čísle</w:t>
      </w:r>
      <w:r w:rsidR="00C56479">
        <w:t xml:space="preserve"> pravidelného bulletinu EU OSHA</w:t>
      </w:r>
      <w:r>
        <w:t xml:space="preserve"> „</w:t>
      </w:r>
      <w:proofErr w:type="spellStart"/>
      <w:r>
        <w:t>OSHmail</w:t>
      </w:r>
      <w:proofErr w:type="spellEnd"/>
      <w:r>
        <w:t xml:space="preserve"> Newsletter“</w:t>
      </w:r>
      <w:r w:rsidR="00500D7D">
        <w:t>*</w:t>
      </w:r>
      <w:r>
        <w:t xml:space="preserve"> se zdůrazňuje vzájemný vliv psychosociálních faktorů a muskuloskeletálních poruch:</w:t>
      </w:r>
    </w:p>
    <w:p w14:paraId="3CBBB8E7" w14:textId="5C550DE1" w:rsidR="00276F94" w:rsidRDefault="00276F94">
      <w:r>
        <w:t>„</w:t>
      </w:r>
      <w:r w:rsidRPr="00276F94">
        <w:t xml:space="preserve">Zatímco muskuloskeletální poruchy (MSD) jsou zvládnutelné, fyzické i psychosociální faktory mohou ovlivnit fyzickou a duševní pohodu pracovníků. Psychosociální faktory, jako je nadměrná pracovní zátěž, časový tlak, nedostatek kontroly nad úkoly a nízká sociální podpora, mohou významně přispět k riziku rozvoje nebo </w:t>
      </w:r>
      <w:r>
        <w:t>zhoršení</w:t>
      </w:r>
      <w:r w:rsidRPr="00276F94">
        <w:t xml:space="preserve"> MSD. Na druhé straně může MSD vést ke stresu, úzkosti nebo depresi. Je proto nezbytné, aby byly tyto rizikové faktory posuzovány společně, aby byl zajištěn holistický přístup k bezpečnosti a ochraně zdraví na pracovišti.</w:t>
      </w:r>
      <w:r>
        <w:t>“</w:t>
      </w:r>
      <w:r w:rsidRPr="00276F94">
        <w:t> </w:t>
      </w:r>
    </w:p>
    <w:p w14:paraId="59E88453" w14:textId="1D3541CA" w:rsidR="00276F94" w:rsidRDefault="00276F94">
      <w:r>
        <w:t xml:space="preserve">Tento celostní přístup ke zdraví pracovníků </w:t>
      </w:r>
      <w:r w:rsidR="00C56479">
        <w:t xml:space="preserve">a snad i pro vás inspirující návod na zvládnutí těchto problémů </w:t>
      </w:r>
      <w:r>
        <w:t>bude</w:t>
      </w:r>
      <w:r w:rsidR="00C56479">
        <w:t xml:space="preserve"> proto </w:t>
      </w:r>
      <w:r>
        <w:t xml:space="preserve">i jedním z příspěvků na semináři, který pro vás EEN při Centru pro regionální rozvoj české republiky a Svaz průmyslu a dopravy </w:t>
      </w:r>
      <w:r w:rsidR="00C56479">
        <w:t xml:space="preserve">pod patronací EU OSHA v rámci již uvedené kampaně </w:t>
      </w:r>
      <w:r w:rsidR="00C56479" w:rsidRPr="00C56479">
        <w:rPr>
          <w:b/>
          <w:bCs/>
        </w:rPr>
        <w:t>chystá na 3.11.2020</w:t>
      </w:r>
      <w:r w:rsidR="00500D7D">
        <w:rPr>
          <w:b/>
          <w:bCs/>
        </w:rPr>
        <w:t>. A</w:t>
      </w:r>
      <w:r w:rsidR="00C56479" w:rsidRPr="00C56479">
        <w:rPr>
          <w:b/>
          <w:bCs/>
        </w:rPr>
        <w:t xml:space="preserve"> to opět virtuálně</w:t>
      </w:r>
      <w:r w:rsidR="00C56479">
        <w:t xml:space="preserve">, což má kromě mnoha nevýhod i výhodu, že se k záznamu můžete vracet na </w:t>
      </w:r>
      <w:proofErr w:type="spellStart"/>
      <w:r w:rsidR="00C56479">
        <w:t>You</w:t>
      </w:r>
      <w:proofErr w:type="spellEnd"/>
      <w:r w:rsidR="00C56479">
        <w:t xml:space="preserve"> Tube nebo, pokud nebudete moci 3.11 sledovat „přímý přenos“, přehrát si seminář později. </w:t>
      </w:r>
    </w:p>
    <w:p w14:paraId="048D2B31" w14:textId="3E27CA25" w:rsidR="00C56479" w:rsidRDefault="00C56479">
      <w:r>
        <w:t xml:space="preserve">Dalším tématem našeho semináře bude i </w:t>
      </w:r>
      <w:r w:rsidRPr="00C56479">
        <w:rPr>
          <w:b/>
          <w:bCs/>
        </w:rPr>
        <w:t>onemocnění bederní páteře</w:t>
      </w:r>
      <w:r>
        <w:t xml:space="preserve">, které se v ČR stalo nově nemocí z povolání. </w:t>
      </w:r>
    </w:p>
    <w:p w14:paraId="65B99AFA" w14:textId="53202518" w:rsidR="00C56479" w:rsidRDefault="00C56479">
      <w:r>
        <w:t xml:space="preserve">Zveme vás proto znovu po roce ke sledování </w:t>
      </w:r>
      <w:r w:rsidR="00500D7D">
        <w:t>našich odborníků,</w:t>
      </w:r>
      <w:r>
        <w:t xml:space="preserve"> </w:t>
      </w:r>
      <w:r w:rsidR="00500D7D">
        <w:t>např. MUDr. V </w:t>
      </w:r>
      <w:proofErr w:type="spellStart"/>
      <w:r w:rsidR="00500D7D">
        <w:t>Lipšové</w:t>
      </w:r>
      <w:proofErr w:type="spellEnd"/>
      <w:r w:rsidR="00500D7D">
        <w:t xml:space="preserve">, Mgr. J. </w:t>
      </w:r>
      <w:proofErr w:type="spellStart"/>
      <w:r w:rsidR="00500D7D">
        <w:t>Močigemba</w:t>
      </w:r>
      <w:proofErr w:type="spellEnd"/>
      <w:r w:rsidR="00500D7D">
        <w:t xml:space="preserve"> či JUDr. M. Mikysky </w:t>
      </w:r>
      <w:r w:rsidR="00500D7D" w:rsidRPr="00251BA8">
        <w:rPr>
          <w:b/>
          <w:bCs/>
        </w:rPr>
        <w:t>dne 3. 11. 2022</w:t>
      </w:r>
      <w:r w:rsidR="00500D7D">
        <w:t>. Váš zájem o seminář už nyní můžete zaslat na email:</w:t>
      </w:r>
    </w:p>
    <w:p w14:paraId="2864A4AF" w14:textId="53743BC3" w:rsidR="00500D7D" w:rsidRDefault="00E46005">
      <w:hyperlink r:id="rId6" w:history="1">
        <w:r w:rsidR="00500D7D" w:rsidRPr="00E32560">
          <w:rPr>
            <w:rStyle w:val="Hypertextovodkaz"/>
          </w:rPr>
          <w:t>barbora.mudrunkova@crr.cz</w:t>
        </w:r>
      </w:hyperlink>
      <w:r w:rsidR="00500D7D">
        <w:t xml:space="preserve">. </w:t>
      </w:r>
      <w:r w:rsidR="00251BA8">
        <w:t xml:space="preserve">Pro přihlášení budete vyzváni pak oficiální pozvánkou na našich webových stránkách nebo v emailu, který vám zašleme. </w:t>
      </w:r>
    </w:p>
    <w:p w14:paraId="16117273" w14:textId="07024ACF" w:rsidR="00500D7D" w:rsidRDefault="00500D7D"/>
    <w:p w14:paraId="7DFC9E1E" w14:textId="16E6541B" w:rsidR="00500D7D" w:rsidRDefault="00500D7D">
      <w:r>
        <w:t>Marie Pavlů, Ambasador</w:t>
      </w:r>
      <w:r w:rsidR="00251BA8">
        <w:t>ka</w:t>
      </w:r>
      <w:r>
        <w:t xml:space="preserve"> EU OSHA v síti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Network (EEN) </w:t>
      </w:r>
    </w:p>
    <w:p w14:paraId="3B61F33B" w14:textId="37BCF953" w:rsidR="00500D7D" w:rsidRDefault="00500D7D"/>
    <w:p w14:paraId="67B5A54A" w14:textId="3E477450" w:rsidR="00500D7D" w:rsidRPr="00B54FFF" w:rsidRDefault="00500D7D">
      <w:pPr>
        <w:rPr>
          <w:sz w:val="16"/>
          <w:szCs w:val="16"/>
        </w:rPr>
      </w:pPr>
      <w:r w:rsidRPr="00B54FFF">
        <w:rPr>
          <w:sz w:val="16"/>
          <w:szCs w:val="16"/>
        </w:rPr>
        <w:t>*https://healthy-workplaces.eu/en/media-centre/news/assessing-psychosocial-risk-factors-implications-musculoskeletal-disorders-risk-assessment?pk_campaign=hwc_newsletter_2022_10&amp;_cldee=5MZgP6Mab3a234a7OaHnk0Teix3Tq83ZL7y2DohXOcFgaphA49grcKsqRLOnhU5o&amp;recipientid=contact-8dbce9d0b494e41180c3005056ba4e5c-8e03c542602d4998b2b706bbb12519ad&amp;esid=c690079e-7d39-ed11-9f84-005056b81fae</w:t>
      </w:r>
    </w:p>
    <w:sectPr w:rsidR="00500D7D" w:rsidRPr="00B54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94"/>
    <w:rsid w:val="00251BA8"/>
    <w:rsid w:val="00276F94"/>
    <w:rsid w:val="002823DA"/>
    <w:rsid w:val="003325DF"/>
    <w:rsid w:val="003E7308"/>
    <w:rsid w:val="00500D7D"/>
    <w:rsid w:val="00557FA8"/>
    <w:rsid w:val="0077125A"/>
    <w:rsid w:val="00B54FFF"/>
    <w:rsid w:val="00C44E48"/>
    <w:rsid w:val="00C56479"/>
    <w:rsid w:val="00E4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FCEE"/>
  <w15:chartTrackingRefBased/>
  <w15:docId w15:val="{36E30889-80B6-4DFC-B70B-1B076D82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0D7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0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bora.mudrunkova@crr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pro Regionalni rozvoj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Pavlů Marie</dc:creator>
  <cp:keywords/>
  <dc:description/>
  <cp:lastModifiedBy>Barbora Mudruňková</cp:lastModifiedBy>
  <cp:revision>6</cp:revision>
  <dcterms:created xsi:type="dcterms:W3CDTF">2022-10-04T09:44:00Z</dcterms:created>
  <dcterms:modified xsi:type="dcterms:W3CDTF">2022-10-04T09:55:00Z</dcterms:modified>
</cp:coreProperties>
</file>